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765FA8C7"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9F0E8D" w:rsidRPr="009F0E8D">
        <w:t>9</w:t>
      </w:r>
      <w:r w:rsidR="008B5422">
        <w:t>6</w:t>
      </w:r>
      <w:r w:rsidR="00331EE3">
        <w:t>-e</w:t>
      </w:r>
      <w:r w:rsidRPr="009F0E8D">
        <w:tab/>
      </w:r>
      <w:r w:rsidR="00D46431" w:rsidRPr="009F0E8D">
        <w:tab/>
      </w:r>
      <w:r w:rsidR="004B3064" w:rsidRPr="004B3064">
        <w:t>R4-2009933</w:t>
      </w:r>
    </w:p>
    <w:p w14:paraId="50DC9730" w14:textId="6607EDAF" w:rsidR="00D309CC" w:rsidRPr="00FD166F" w:rsidRDefault="00855D88" w:rsidP="00D46431">
      <w:pPr>
        <w:pStyle w:val="CH"/>
        <w:tabs>
          <w:tab w:val="clear" w:pos="7920"/>
        </w:tabs>
        <w:rPr>
          <w:b w:val="0"/>
        </w:rPr>
      </w:pPr>
      <w:r w:rsidRPr="00AD1007">
        <w:t xml:space="preserve">Electronic meeting, </w:t>
      </w:r>
      <w:r w:rsidR="008B5422">
        <w:t>17</w:t>
      </w:r>
      <w:r w:rsidR="008B5422" w:rsidRPr="00B765D3">
        <w:t xml:space="preserve">th – </w:t>
      </w:r>
      <w:r w:rsidR="008B5422">
        <w:t>28</w:t>
      </w:r>
      <w:r w:rsidR="008B5422" w:rsidRPr="00B765D3">
        <w:t xml:space="preserve">th </w:t>
      </w:r>
      <w:r w:rsidR="008B5422">
        <w:t>August</w:t>
      </w:r>
      <w:r w:rsidR="008B5422" w:rsidRPr="00B765D3">
        <w:t xml:space="preserve"> 2020</w:t>
      </w:r>
      <w:r w:rsidR="00D46431" w:rsidRPr="009F0E8D">
        <w:tab/>
      </w:r>
    </w:p>
    <w:p w14:paraId="39A0EE25" w14:textId="77777777" w:rsidR="00D309CC" w:rsidRDefault="00D309CC" w:rsidP="00D309CC">
      <w:pPr>
        <w:tabs>
          <w:tab w:val="left" w:pos="2160"/>
        </w:tabs>
        <w:rPr>
          <w:rFonts w:ascii="Arial" w:hAnsi="Arial" w:cs="Arial"/>
          <w:b/>
        </w:rPr>
      </w:pPr>
    </w:p>
    <w:p w14:paraId="6DDCE159" w14:textId="4A7FF284" w:rsidR="00D309CC" w:rsidRPr="0008103A" w:rsidRDefault="00D309CC" w:rsidP="00D309CC">
      <w:pPr>
        <w:pStyle w:val="CH"/>
        <w:rPr>
          <w:b w:val="0"/>
        </w:rPr>
      </w:pPr>
      <w:r w:rsidRPr="0008103A">
        <w:t>Agenda item:</w:t>
      </w:r>
      <w:r>
        <w:tab/>
      </w:r>
      <w:r w:rsidR="008B5422">
        <w:t>7</w:t>
      </w:r>
      <w:r w:rsidR="00AD084F">
        <w:t>.1.1</w:t>
      </w:r>
      <w:r w:rsidR="008B5422">
        <w:t>.2</w:t>
      </w:r>
    </w:p>
    <w:p w14:paraId="4DBE005A" w14:textId="77777777" w:rsidR="00D309CC" w:rsidRPr="0008103A" w:rsidRDefault="00D309CC" w:rsidP="00D309CC">
      <w:pPr>
        <w:pStyle w:val="CH"/>
        <w:rPr>
          <w:b w:val="0"/>
        </w:rPr>
      </w:pPr>
      <w:r>
        <w:t>Source:</w:t>
      </w:r>
      <w:r>
        <w:tab/>
        <w:t>Apple Inc.</w:t>
      </w:r>
    </w:p>
    <w:p w14:paraId="0D2061A1" w14:textId="15408A4B" w:rsidR="00D309CC" w:rsidRDefault="00D309CC" w:rsidP="005619F8">
      <w:pPr>
        <w:pStyle w:val="CH"/>
        <w:ind w:left="2268" w:hanging="2268"/>
      </w:pPr>
      <w:r w:rsidRPr="0008103A">
        <w:t>Title:</w:t>
      </w:r>
      <w:r w:rsidRPr="0008103A">
        <w:tab/>
      </w:r>
      <w:r w:rsidR="008B5422" w:rsidRPr="008B5422">
        <w:t>Remaining issues on NR-U wideband operation</w:t>
      </w:r>
    </w:p>
    <w:p w14:paraId="052B1E0C" w14:textId="32C49995" w:rsidR="00104BC6" w:rsidRDefault="00104BC6" w:rsidP="00D309CC">
      <w:pPr>
        <w:pStyle w:val="CH"/>
      </w:pPr>
      <w:r>
        <w:t>WI/SI:</w:t>
      </w:r>
      <w:r>
        <w:tab/>
      </w:r>
      <w:proofErr w:type="spellStart"/>
      <w:r w:rsidR="005619F8" w:rsidRPr="005619F8">
        <w:t>NR_unlic</w:t>
      </w:r>
      <w:proofErr w:type="spellEnd"/>
    </w:p>
    <w:p w14:paraId="6C6D1281" w14:textId="182CACBE" w:rsidR="00104BC6" w:rsidRDefault="00104BC6" w:rsidP="00D309CC">
      <w:pPr>
        <w:pStyle w:val="CH"/>
        <w:rPr>
          <w:b w:val="0"/>
        </w:rPr>
      </w:pPr>
      <w:r>
        <w:t>Release:</w:t>
      </w:r>
      <w:r>
        <w:tab/>
      </w:r>
      <w:r w:rsidRPr="001729FA">
        <w:t>Rel-</w:t>
      </w:r>
      <w:r w:rsidR="001729FA" w:rsidRPr="001729FA">
        <w:t>16</w:t>
      </w:r>
    </w:p>
    <w:p w14:paraId="2E4E044D" w14:textId="1E179A88" w:rsidR="00D309CC" w:rsidRDefault="00D309CC" w:rsidP="00D309CC">
      <w:pPr>
        <w:pStyle w:val="CH"/>
      </w:pPr>
      <w:r>
        <w:t>Document for:</w:t>
      </w:r>
      <w:r>
        <w:tab/>
      </w:r>
      <w:r w:rsidR="00331EE3">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6130B09" w14:textId="626748A7" w:rsidR="00FE4478" w:rsidRDefault="00FE4478" w:rsidP="008E7986">
      <w:r>
        <w:t xml:space="preserve">NR-U WI </w:t>
      </w:r>
      <w:r w:rsidR="00655891">
        <w:fldChar w:fldCharType="begin"/>
      </w:r>
      <w:r w:rsidR="00655891">
        <w:instrText xml:space="preserve"> REF _Ref40269250 \r \h </w:instrText>
      </w:r>
      <w:r w:rsidR="00655891">
        <w:fldChar w:fldCharType="separate"/>
      </w:r>
      <w:r w:rsidR="00655891">
        <w:t>[1]</w:t>
      </w:r>
      <w:r w:rsidR="00655891">
        <w:fldChar w:fldCharType="end"/>
      </w:r>
      <w:r w:rsidR="00655891">
        <w:t xml:space="preserve"> </w:t>
      </w:r>
      <w:r>
        <w:t xml:space="preserve">aims at specifying how the NR technology can be used on the unlicensed spectrum thus </w:t>
      </w:r>
      <w:r w:rsidR="00D9381C">
        <w:t>offering operators more resources in frequency bands, such as</w:t>
      </w:r>
      <w:r>
        <w:t xml:space="preserve"> </w:t>
      </w:r>
      <w:r w:rsidR="00441776">
        <w:t>5GHz</w:t>
      </w:r>
      <w:r w:rsidR="00D9381C">
        <w:t xml:space="preserve"> and 6GHz. Unlike licensed bands, co-existence with other technologies and systems must be ensured in unlicensed spectrum, for which a common procedure known</w:t>
      </w:r>
      <w:r w:rsidR="00441776">
        <w:t xml:space="preserve"> </w:t>
      </w:r>
      <w:r w:rsidR="00D9381C">
        <w:t xml:space="preserve">as listen-before-talk (LBT) is performed individually for every LBT sub-band of 20MHz whenever a transmission takes place. To optimise NR-U performance over larger channel bandwidths, a new feature called wide-band operation was devised, which enables larger channel bandwidths (e.g. </w:t>
      </w:r>
      <w:proofErr w:type="gramStart"/>
      <w:r w:rsidR="00D9381C">
        <w:t>40..</w:t>
      </w:r>
      <w:proofErr w:type="gramEnd"/>
      <w:r w:rsidR="00D9381C">
        <w:t xml:space="preserve">80MHz) and at the same time allows for performing the LBT procedure in 20MHz sub-bands. </w:t>
      </w:r>
    </w:p>
    <w:p w14:paraId="06E92CC7" w14:textId="6CD2D88D" w:rsidR="008E7986" w:rsidRDefault="00655891" w:rsidP="008E7986">
      <w:r>
        <w:t xml:space="preserve">During the </w:t>
      </w:r>
      <w:r w:rsidR="00D9381C">
        <w:t xml:space="preserve">previous </w:t>
      </w:r>
      <w:r>
        <w:t>RAN</w:t>
      </w:r>
      <w:r w:rsidR="00D9381C">
        <w:t xml:space="preserve"> WG</w:t>
      </w:r>
      <w:r>
        <w:t>4 meeting</w:t>
      </w:r>
      <w:r w:rsidR="00D9381C">
        <w:t>s</w:t>
      </w:r>
      <w:r>
        <w:t xml:space="preserve">, </w:t>
      </w:r>
      <w:r w:rsidR="00D9381C">
        <w:t xml:space="preserve">some of </w:t>
      </w:r>
      <w:r w:rsidR="00DC6353">
        <w:t xml:space="preserve">the </w:t>
      </w:r>
      <w:r w:rsidR="00D9381C">
        <w:t xml:space="preserve">open questions for both wide-band operation </w:t>
      </w:r>
      <w:proofErr w:type="gramStart"/>
      <w:r w:rsidR="008B5422">
        <w:t>were</w:t>
      </w:r>
      <w:proofErr w:type="gramEnd"/>
      <w:r w:rsidR="008B5422">
        <w:t xml:space="preserve"> discussed which concern both wide-band capabilities and intra-carrier guard bands</w:t>
      </w:r>
      <w:r>
        <w:t xml:space="preserve">. </w:t>
      </w:r>
      <w:r w:rsidR="00D9381C">
        <w:t>Thus, i</w:t>
      </w:r>
      <w:r>
        <w:t xml:space="preserve">n this discussion paper we </w:t>
      </w:r>
      <w:r w:rsidR="008B5422">
        <w:t>try to address those open issues</w:t>
      </w:r>
      <w:r>
        <w:t>.</w:t>
      </w:r>
      <w:r w:rsidR="00DE7963">
        <w:t xml:space="preserve"> </w:t>
      </w:r>
    </w:p>
    <w:p w14:paraId="6FCA7FDF" w14:textId="77777777" w:rsidR="00AD5712" w:rsidRDefault="00AD5712" w:rsidP="008E7986"/>
    <w:p w14:paraId="3A67921B" w14:textId="17215BFC" w:rsidR="008E7986" w:rsidRDefault="008E7986" w:rsidP="008E7986">
      <w:pPr>
        <w:pStyle w:val="Heading1"/>
      </w:pPr>
      <w:r>
        <w:t>2</w:t>
      </w:r>
      <w:r>
        <w:tab/>
      </w:r>
      <w:r w:rsidR="00D9381C">
        <w:t xml:space="preserve">Wide-band </w:t>
      </w:r>
      <w:r w:rsidR="008B5422">
        <w:t>capabilities</w:t>
      </w:r>
      <w:r w:rsidR="00D9381C">
        <w:t xml:space="preserve"> </w:t>
      </w:r>
      <w:r w:rsidR="00AD084F">
        <w:t xml:space="preserve"> </w:t>
      </w:r>
    </w:p>
    <w:p w14:paraId="5F6E4152" w14:textId="6D6E2538" w:rsidR="004B5392" w:rsidRDefault="004B5392" w:rsidP="00602A59">
      <w:r>
        <w:t>As mentioned in the Introduction part, wide-band operation allows for configuring a larg</w:t>
      </w:r>
      <w:r w:rsidR="005532C0">
        <w:t>e</w:t>
      </w:r>
      <w:r>
        <w:t xml:space="preserve"> channel bandwidth that spans over several 20MHz LBT sub-bands. The premise idea is that if the LBT procedure fails in one of the sub-bands, the data still can be scheduled in other sub-bands. </w:t>
      </w:r>
      <w:r w:rsidR="008B5422">
        <w:t>Furthermore</w:t>
      </w:r>
      <w:r>
        <w:t xml:space="preserve">, </w:t>
      </w:r>
      <w:r w:rsidR="00AD5712">
        <w:t xml:space="preserve">if LBT procedure passes for several </w:t>
      </w:r>
      <w:r>
        <w:t xml:space="preserve">contiguous </w:t>
      </w:r>
      <w:r w:rsidR="00AD5712">
        <w:t>sub-bands, then data can be also scheduled in intra-carrier</w:t>
      </w:r>
      <w:r>
        <w:t xml:space="preserve"> guard bands</w:t>
      </w:r>
      <w:r w:rsidR="005532C0">
        <w:t>.</w:t>
      </w:r>
      <w:r w:rsidR="00AD5712">
        <w:t xml:space="preserve"> </w:t>
      </w:r>
      <w:r>
        <w:t>Figure 1 below</w:t>
      </w:r>
      <w:r w:rsidR="00132538">
        <w:t xml:space="preserve"> presents different outcomes of the LBT procedure for the 60MHz channel. As can be seen from the picture,</w:t>
      </w:r>
      <w:r>
        <w:t xml:space="preserve"> if </w:t>
      </w:r>
      <w:r w:rsidR="00132538">
        <w:t xml:space="preserve">all or contiguous </w:t>
      </w:r>
      <w:r>
        <w:t>sub-band</w:t>
      </w:r>
      <w:r w:rsidR="00132538">
        <w:t>s pass</w:t>
      </w:r>
      <w:r w:rsidR="00AD5712">
        <w:t xml:space="preserve"> LBT procedures</w:t>
      </w:r>
      <w:r w:rsidR="00132538">
        <w:t xml:space="preserve">, </w:t>
      </w:r>
      <w:r>
        <w:t xml:space="preserve">then data can be scheduled over </w:t>
      </w:r>
      <w:r w:rsidR="005532C0">
        <w:t>the corresponding</w:t>
      </w:r>
      <w:r>
        <w:t xml:space="preserve"> sub-bands including intra-carrier guard band between them</w:t>
      </w:r>
      <w:r w:rsidR="00132538">
        <w:t xml:space="preserve"> resulting in better spectrum utilisation</w:t>
      </w:r>
      <w:r>
        <w:t>.</w:t>
      </w:r>
    </w:p>
    <w:p w14:paraId="66D095B2" w14:textId="77777777" w:rsidR="00AD5712" w:rsidRDefault="00AD5712" w:rsidP="00602A59"/>
    <w:p w14:paraId="0E4A2EFF" w14:textId="77777777" w:rsidR="00AD5712" w:rsidRDefault="00AD5712" w:rsidP="00AD5712">
      <w:r>
        <w:t xml:space="preserve">With regards to exemplary outcomes of the LBT procedure illustrated in Figure 1 for 60MHz channel, there can be different wide-band transmission modes as agreed by RAN WG1: </w:t>
      </w:r>
    </w:p>
    <w:p w14:paraId="4EF9AECC" w14:textId="77777777" w:rsidR="00AD5712" w:rsidRDefault="00AD5712" w:rsidP="00AD5712">
      <w:pPr>
        <w:pStyle w:val="B1"/>
      </w:pPr>
      <w:r>
        <w:t>-</w:t>
      </w:r>
      <w:r>
        <w:tab/>
        <w:t xml:space="preserve">Mode 1: This mode of operation allows for data transmission only when LBT is successful in all the LBT sub-bands (as shown in the first sub-figure on Figure 1). </w:t>
      </w:r>
    </w:p>
    <w:p w14:paraId="5BB3B0DC" w14:textId="77777777" w:rsidR="00AD5712" w:rsidRDefault="00AD5712" w:rsidP="00AD5712">
      <w:pPr>
        <w:pStyle w:val="B1"/>
      </w:pPr>
      <w:r>
        <w:t>-</w:t>
      </w:r>
      <w:r>
        <w:tab/>
        <w:t>Mode 2: This mode of operation allows for data transmission in a sub-set of LBT sub-bands which is contiguous comprising one or more LBT sub-bands. This mode is further differentiated between 2A when there is only a single scheduled LBT sub-band as shown on the second and the third sub-figure on Figure 1 or 2B when there are several contiguous sub-bands.</w:t>
      </w:r>
    </w:p>
    <w:p w14:paraId="1794BF37" w14:textId="77777777" w:rsidR="00AD5712" w:rsidRDefault="00AD5712" w:rsidP="00AD5712">
      <w:pPr>
        <w:pStyle w:val="B1"/>
      </w:pPr>
      <w:r>
        <w:t>-</w:t>
      </w:r>
      <w:r>
        <w:tab/>
        <w:t>Mode 3: This mode of operation allows for data transmission in a sub-set of LBT sub-bands which is non-contiguous (as shown on the last sub-figure on Figure 1). It should be also noted that it is applicable only to the DL direction.</w:t>
      </w:r>
    </w:p>
    <w:p w14:paraId="1D74360C" w14:textId="77777777" w:rsidR="00AD5712" w:rsidRDefault="00AD5712" w:rsidP="00602A59"/>
    <w:p w14:paraId="3A70977F" w14:textId="73426878" w:rsidR="00132538" w:rsidRDefault="00132538" w:rsidP="00132538">
      <w:pPr>
        <w:jc w:val="center"/>
      </w:pPr>
      <w:r>
        <w:rPr>
          <w:noProof/>
        </w:rPr>
        <w:lastRenderedPageBreak/>
        <w:drawing>
          <wp:inline distT="0" distB="0" distL="0" distR="0" wp14:anchorId="48E9A8B6" wp14:editId="55AEC43F">
            <wp:extent cx="4499572" cy="56658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se_60.eps"/>
                    <pic:cNvPicPr/>
                  </pic:nvPicPr>
                  <pic:blipFill>
                    <a:blip r:embed="rId9">
                      <a:extLst>
                        <a:ext uri="{28A0092B-C50C-407E-A947-70E740481C1C}">
                          <a14:useLocalDpi xmlns:a14="http://schemas.microsoft.com/office/drawing/2010/main" val="0"/>
                        </a:ext>
                      </a:extLst>
                    </a:blip>
                    <a:stretch>
                      <a:fillRect/>
                    </a:stretch>
                  </pic:blipFill>
                  <pic:spPr>
                    <a:xfrm>
                      <a:off x="0" y="0"/>
                      <a:ext cx="4693720" cy="591035"/>
                    </a:xfrm>
                    <a:prstGeom prst="rect">
                      <a:avLst/>
                    </a:prstGeom>
                  </pic:spPr>
                </pic:pic>
              </a:graphicData>
            </a:graphic>
          </wp:inline>
        </w:drawing>
      </w:r>
    </w:p>
    <w:p w14:paraId="7F1263A9" w14:textId="7CDE6ABD" w:rsidR="005C5495" w:rsidRDefault="005C5495" w:rsidP="00132538">
      <w:pPr>
        <w:jc w:val="center"/>
      </w:pPr>
      <w:r>
        <w:rPr>
          <w:noProof/>
        </w:rPr>
        <w:drawing>
          <wp:inline distT="0" distB="0" distL="0" distR="0" wp14:anchorId="3CED51B0" wp14:editId="77639624">
            <wp:extent cx="4507787" cy="576507"/>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se_60_20p_40f.eps"/>
                    <pic:cNvPicPr/>
                  </pic:nvPicPr>
                  <pic:blipFill>
                    <a:blip r:embed="rId10">
                      <a:extLst>
                        <a:ext uri="{28A0092B-C50C-407E-A947-70E740481C1C}">
                          <a14:useLocalDpi xmlns:a14="http://schemas.microsoft.com/office/drawing/2010/main" val="0"/>
                        </a:ext>
                      </a:extLst>
                    </a:blip>
                    <a:stretch>
                      <a:fillRect/>
                    </a:stretch>
                  </pic:blipFill>
                  <pic:spPr>
                    <a:xfrm>
                      <a:off x="0" y="0"/>
                      <a:ext cx="4702947" cy="601466"/>
                    </a:xfrm>
                    <a:prstGeom prst="rect">
                      <a:avLst/>
                    </a:prstGeom>
                  </pic:spPr>
                </pic:pic>
              </a:graphicData>
            </a:graphic>
          </wp:inline>
        </w:drawing>
      </w:r>
    </w:p>
    <w:p w14:paraId="7BB1D29C" w14:textId="16045F18" w:rsidR="005C5495" w:rsidRDefault="005C5495" w:rsidP="00132538">
      <w:pPr>
        <w:jc w:val="center"/>
      </w:pPr>
      <w:r>
        <w:rPr>
          <w:noProof/>
        </w:rPr>
        <w:drawing>
          <wp:inline distT="0" distB="0" distL="0" distR="0" wp14:anchorId="40C0EBBE" wp14:editId="4420B190">
            <wp:extent cx="4544839" cy="572288"/>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ase_60_40f_20p.eps"/>
                    <pic:cNvPicPr/>
                  </pic:nvPicPr>
                  <pic:blipFill>
                    <a:blip r:embed="rId11">
                      <a:extLst>
                        <a:ext uri="{28A0092B-C50C-407E-A947-70E740481C1C}">
                          <a14:useLocalDpi xmlns:a14="http://schemas.microsoft.com/office/drawing/2010/main" val="0"/>
                        </a:ext>
                      </a:extLst>
                    </a:blip>
                    <a:stretch>
                      <a:fillRect/>
                    </a:stretch>
                  </pic:blipFill>
                  <pic:spPr>
                    <a:xfrm>
                      <a:off x="0" y="0"/>
                      <a:ext cx="4703037" cy="592208"/>
                    </a:xfrm>
                    <a:prstGeom prst="rect">
                      <a:avLst/>
                    </a:prstGeom>
                  </pic:spPr>
                </pic:pic>
              </a:graphicData>
            </a:graphic>
          </wp:inline>
        </w:drawing>
      </w:r>
    </w:p>
    <w:p w14:paraId="20F062D2" w14:textId="09B902C8" w:rsidR="004B5392" w:rsidRDefault="00132538" w:rsidP="004B5392">
      <w:pPr>
        <w:jc w:val="center"/>
      </w:pPr>
      <w:r>
        <w:rPr>
          <w:noProof/>
        </w:rPr>
        <w:drawing>
          <wp:inline distT="0" distB="0" distL="0" distR="0" wp14:anchorId="19AC660F" wp14:editId="2CBFF137">
            <wp:extent cx="4517679" cy="56886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se_60_40_20.eps"/>
                    <pic:cNvPicPr/>
                  </pic:nvPicPr>
                  <pic:blipFill>
                    <a:blip r:embed="rId12">
                      <a:extLst>
                        <a:ext uri="{28A0092B-C50C-407E-A947-70E740481C1C}">
                          <a14:useLocalDpi xmlns:a14="http://schemas.microsoft.com/office/drawing/2010/main" val="0"/>
                        </a:ext>
                      </a:extLst>
                    </a:blip>
                    <a:stretch>
                      <a:fillRect/>
                    </a:stretch>
                  </pic:blipFill>
                  <pic:spPr>
                    <a:xfrm>
                      <a:off x="0" y="0"/>
                      <a:ext cx="4582583" cy="577042"/>
                    </a:xfrm>
                    <a:prstGeom prst="rect">
                      <a:avLst/>
                    </a:prstGeom>
                  </pic:spPr>
                </pic:pic>
              </a:graphicData>
            </a:graphic>
          </wp:inline>
        </w:drawing>
      </w:r>
    </w:p>
    <w:p w14:paraId="5A0C39F9" w14:textId="2E3211A6" w:rsidR="00EE40A1" w:rsidRDefault="004B5392" w:rsidP="005C5495">
      <w:pPr>
        <w:jc w:val="center"/>
      </w:pPr>
      <w:r>
        <w:rPr>
          <w:noProof/>
        </w:rPr>
        <w:drawing>
          <wp:inline distT="0" distB="0" distL="0" distR="0" wp14:anchorId="0EC790C8" wp14:editId="190A0A25">
            <wp:extent cx="4556098" cy="57370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se3_60_20_40.eps"/>
                    <pic:cNvPicPr/>
                  </pic:nvPicPr>
                  <pic:blipFill>
                    <a:blip r:embed="rId13">
                      <a:extLst>
                        <a:ext uri="{28A0092B-C50C-407E-A947-70E740481C1C}">
                          <a14:useLocalDpi xmlns:a14="http://schemas.microsoft.com/office/drawing/2010/main" val="0"/>
                        </a:ext>
                      </a:extLst>
                    </a:blip>
                    <a:stretch>
                      <a:fillRect/>
                    </a:stretch>
                  </pic:blipFill>
                  <pic:spPr>
                    <a:xfrm>
                      <a:off x="0" y="0"/>
                      <a:ext cx="4751141" cy="598266"/>
                    </a:xfrm>
                    <a:prstGeom prst="rect">
                      <a:avLst/>
                    </a:prstGeom>
                  </pic:spPr>
                </pic:pic>
              </a:graphicData>
            </a:graphic>
          </wp:inline>
        </w:drawing>
      </w:r>
    </w:p>
    <w:p w14:paraId="56AFE75F" w14:textId="5744F545" w:rsidR="00132538" w:rsidRDefault="00132538" w:rsidP="004B5392">
      <w:pPr>
        <w:jc w:val="center"/>
      </w:pPr>
      <w:r>
        <w:rPr>
          <w:noProof/>
        </w:rPr>
        <w:drawing>
          <wp:inline distT="0" distB="0" distL="0" distR="0" wp14:anchorId="0B823EF2" wp14:editId="1EB58C74">
            <wp:extent cx="4579952" cy="57671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se2_60_20_20_20.eps"/>
                    <pic:cNvPicPr/>
                  </pic:nvPicPr>
                  <pic:blipFill>
                    <a:blip r:embed="rId14">
                      <a:extLst>
                        <a:ext uri="{28A0092B-C50C-407E-A947-70E740481C1C}">
                          <a14:useLocalDpi xmlns:a14="http://schemas.microsoft.com/office/drawing/2010/main" val="0"/>
                        </a:ext>
                      </a:extLst>
                    </a:blip>
                    <a:stretch>
                      <a:fillRect/>
                    </a:stretch>
                  </pic:blipFill>
                  <pic:spPr>
                    <a:xfrm>
                      <a:off x="0" y="0"/>
                      <a:ext cx="4687488" cy="590251"/>
                    </a:xfrm>
                    <a:prstGeom prst="rect">
                      <a:avLst/>
                    </a:prstGeom>
                  </pic:spPr>
                </pic:pic>
              </a:graphicData>
            </a:graphic>
          </wp:inline>
        </w:drawing>
      </w:r>
    </w:p>
    <w:p w14:paraId="4581214A" w14:textId="12AFF82D" w:rsidR="004B5392" w:rsidRDefault="004B5392" w:rsidP="004B5392">
      <w:pPr>
        <w:pStyle w:val="TF"/>
      </w:pPr>
      <w:r>
        <w:t xml:space="preserve">Figure 1: Exemplary </w:t>
      </w:r>
      <w:r w:rsidR="00132538">
        <w:t xml:space="preserve">outcome of LBT for </w:t>
      </w:r>
      <w:r>
        <w:t xml:space="preserve">wide-band operation </w:t>
      </w:r>
      <w:r w:rsidR="00132538">
        <w:t>over</w:t>
      </w:r>
      <w:r>
        <w:t xml:space="preserve"> 60MHz channel. </w:t>
      </w:r>
    </w:p>
    <w:p w14:paraId="5BDF32CB" w14:textId="77777777" w:rsidR="005532C0" w:rsidRDefault="00B0333C" w:rsidP="00602A59">
      <w:r>
        <w:t>In the LS from RAN WG1</w:t>
      </w:r>
      <w:r w:rsidR="00AD5712">
        <w:t xml:space="preserve"> </w:t>
      </w:r>
      <w:r w:rsidR="00AD5712">
        <w:fldChar w:fldCharType="begin"/>
      </w:r>
      <w:r w:rsidR="00AD5712">
        <w:instrText xml:space="preserve"> REF _Ref47521675 \r \h </w:instrText>
      </w:r>
      <w:r w:rsidR="00AD5712">
        <w:fldChar w:fldCharType="separate"/>
      </w:r>
      <w:r w:rsidR="00AD5712">
        <w:t>[2]</w:t>
      </w:r>
      <w:r w:rsidR="00AD5712">
        <w:fldChar w:fldCharType="end"/>
      </w:r>
      <w:r>
        <w:t xml:space="preserve">, there are several questions with regards to whether there is any difference between transmission modes from the viewpoint of the UE capabilities. In general, wide-band operation requires additional functionality and it should not be assumed that all the transmission modes can be supported with the same level of complexity. </w:t>
      </w:r>
    </w:p>
    <w:p w14:paraId="6FE24981" w14:textId="71673EA1" w:rsidR="005532C0" w:rsidRDefault="00B0333C" w:rsidP="00602A59">
      <w:r>
        <w:t xml:space="preserve">Wide-band transmission mode 1 is close, if not identical, to data transmission on the licensed band because it takes place only if LBT passes on all the sub-bands. In that sense we can </w:t>
      </w:r>
      <w:r w:rsidR="005532C0">
        <w:t xml:space="preserve">potentially </w:t>
      </w:r>
      <w:r>
        <w:t xml:space="preserve">construe wide-band transmission mode 1 as the baseline NR-U functionality. </w:t>
      </w:r>
      <w:r w:rsidR="005532C0">
        <w:t>Nevertheless, it is worth clarifying the underlying assumption for "all-or-nothing" approach for DL and UL directions in a situation when the actual data is scheduled only for a subset of the configured channel sub-bands. In DL, our view is that it makes sense to assume that wide-band mode 1 transmission takes place only when all sub-bands pass LBT irrespective of which sub-bands are scheduled. The premise idea behind this assumption is that a UE anticipates that DL transmission comes only from the serving cell. In other words, a UE is not expected to handle a situation when one of the sub-bands is "tainted" with data transmission comes from a different cell, NR operator, or even a different system. As for the UL direction, it is not entirely clear whether transmission mode 1 assumes that a UE has to perform LBT for all the sub-bands irrespective of where it is scheduled or only for those sub-bands where UL transmission is going to take place.</w:t>
      </w:r>
    </w:p>
    <w:p w14:paraId="766B8EF3" w14:textId="1E8719F6" w:rsidR="005532C0" w:rsidRDefault="005532C0" w:rsidP="005532C0">
      <w:pPr>
        <w:pStyle w:val="Proposal"/>
      </w:pPr>
      <w:bookmarkStart w:id="1" w:name="_Toc47700178"/>
      <w:bookmarkStart w:id="2" w:name="_Toc47700209"/>
      <w:bookmarkStart w:id="3" w:name="_Toc47700275"/>
      <w:bookmarkStart w:id="4" w:name="_Toc47700982"/>
      <w:r>
        <w:t>Proposal 1a:</w:t>
      </w:r>
      <w:r>
        <w:tab/>
        <w:t xml:space="preserve">Clarify that DL wide-band transmission mode 1 assumes that </w:t>
      </w:r>
      <w:r w:rsidRPr="005532C0">
        <w:t>LBT is successful in all LBT sub-bands</w:t>
      </w:r>
      <w:r>
        <w:t xml:space="preserve"> </w:t>
      </w:r>
      <w:r w:rsidRPr="005532C0">
        <w:rPr>
          <w:i/>
          <w:iCs/>
        </w:rPr>
        <w:t>irrespective</w:t>
      </w:r>
      <w:r>
        <w:t xml:space="preserve"> of which sub-bands are scheduled with data.</w:t>
      </w:r>
      <w:bookmarkEnd w:id="1"/>
      <w:bookmarkEnd w:id="2"/>
      <w:bookmarkEnd w:id="3"/>
      <w:bookmarkEnd w:id="4"/>
      <w:r>
        <w:t xml:space="preserve">  </w:t>
      </w:r>
    </w:p>
    <w:p w14:paraId="270C50DE" w14:textId="1FA355EF" w:rsidR="005532C0" w:rsidRDefault="005532C0" w:rsidP="005532C0">
      <w:pPr>
        <w:pStyle w:val="Proposal"/>
      </w:pPr>
      <w:bookmarkStart w:id="5" w:name="_Toc47700179"/>
      <w:bookmarkStart w:id="6" w:name="_Toc47700210"/>
      <w:bookmarkStart w:id="7" w:name="_Toc47700276"/>
      <w:bookmarkStart w:id="8" w:name="_Toc47700983"/>
      <w:r>
        <w:t>Proposal 1b:</w:t>
      </w:r>
      <w:r>
        <w:tab/>
        <w:t>Clarify</w:t>
      </w:r>
      <w:r w:rsidR="001E732B">
        <w:t xml:space="preserve"> </w:t>
      </w:r>
      <w:r>
        <w:t xml:space="preserve">whether </w:t>
      </w:r>
      <w:r w:rsidR="001E732B">
        <w:t xml:space="preserve">UL </w:t>
      </w:r>
      <w:r>
        <w:t xml:space="preserve">wide-band transmission mode 1 assumes that </w:t>
      </w:r>
      <w:r w:rsidRPr="005532C0">
        <w:t>LBT is successful in all LBT sub-bands</w:t>
      </w:r>
      <w:r>
        <w:t xml:space="preserve"> </w:t>
      </w:r>
      <w:r w:rsidRPr="005532C0">
        <w:rPr>
          <w:i/>
          <w:iCs/>
        </w:rPr>
        <w:t>irrespective</w:t>
      </w:r>
      <w:r>
        <w:t xml:space="preserve"> of which sub-bands are scheduled with data</w:t>
      </w:r>
      <w:r>
        <w:t xml:space="preserve"> or only in those LBT sub-bands where UL data is scheduled.</w:t>
      </w:r>
      <w:bookmarkEnd w:id="5"/>
      <w:bookmarkEnd w:id="6"/>
      <w:bookmarkEnd w:id="7"/>
      <w:bookmarkEnd w:id="8"/>
    </w:p>
    <w:p w14:paraId="2F2CA222" w14:textId="77777777" w:rsidR="005532C0" w:rsidRDefault="005532C0" w:rsidP="00602A59"/>
    <w:p w14:paraId="11B09446" w14:textId="28E83F58" w:rsidR="00B0333C" w:rsidRDefault="00B0333C" w:rsidP="00602A59">
      <w:r>
        <w:t>As for transmission modes</w:t>
      </w:r>
      <w:r w:rsidR="005532C0">
        <w:t xml:space="preserve"> 2 and 3</w:t>
      </w:r>
      <w:r>
        <w:t xml:space="preserve">, </w:t>
      </w:r>
      <w:r w:rsidR="005532C0">
        <w:t xml:space="preserve">they </w:t>
      </w:r>
      <w:r>
        <w:t>will require additional implementation and testing</w:t>
      </w:r>
      <w:r w:rsidR="005532C0">
        <w:t xml:space="preserve"> when compared to mode 1</w:t>
      </w:r>
      <w:r>
        <w:t>. Furthermore, wide-band transmission mode 3 might even require more implementation efforts at the UE side as the latter will need to handle a scenario when there can be an interfering transmission in the middle of the configured channel bandwidth. In fact, referring to another question from RAN WG1</w:t>
      </w:r>
      <w:r w:rsidR="005C5495">
        <w:t xml:space="preserve"> on AGC</w:t>
      </w:r>
      <w:r>
        <w:t xml:space="preserve">, </w:t>
      </w:r>
      <w:r w:rsidR="005C5495">
        <w:t>it is important to note that</w:t>
      </w:r>
      <w:r>
        <w:t xml:space="preserve"> interfering transmission can be of </w:t>
      </w:r>
      <w:r w:rsidR="005C5495">
        <w:t>any nature and coming from a different system with a high power resulting in more challenges</w:t>
      </w:r>
      <w:r>
        <w:t xml:space="preserve"> at the UE side. </w:t>
      </w:r>
    </w:p>
    <w:p w14:paraId="3B3F595A" w14:textId="2FD31EB5" w:rsidR="00AD5712" w:rsidRDefault="00AD5712" w:rsidP="00602A59">
      <w:r>
        <w:lastRenderedPageBreak/>
        <w:t>One of the questions from RAN WG1 was whether there is any difference from the UE capability perspective between transmission modes 2A and 2B. And even though the difference is indeed quite marginal, our understanding is that transmission mode 2A will be effectively always limited only to one sub-band in UL, which in turn requires the UE to support only 1 LBT process. From that perspective having this differentiation will enable NR-U for low- and mid-range mobile phones at the same time allowing the network to configure a large channel and performing some form of load balancing between different sub-bands.</w:t>
      </w:r>
    </w:p>
    <w:p w14:paraId="1A0AB105" w14:textId="23F164DE" w:rsidR="005532C0" w:rsidRDefault="005532C0" w:rsidP="005532C0">
      <w:pPr>
        <w:pStyle w:val="Proposal"/>
      </w:pPr>
      <w:bookmarkStart w:id="9" w:name="_Toc40355894"/>
      <w:bookmarkStart w:id="10" w:name="_Toc40444410"/>
      <w:bookmarkStart w:id="11" w:name="_Toc47372346"/>
      <w:bookmarkStart w:id="12" w:name="_Toc47382311"/>
      <w:bookmarkStart w:id="13" w:name="_Toc47522839"/>
      <w:bookmarkStart w:id="14" w:name="_Toc47700180"/>
      <w:bookmarkStart w:id="15" w:name="_Toc47700211"/>
      <w:bookmarkStart w:id="16" w:name="_Toc47700277"/>
      <w:bookmarkStart w:id="17" w:name="_Toc47700984"/>
      <w:r>
        <w:t xml:space="preserve">Proposal </w:t>
      </w:r>
      <w:r>
        <w:t>2a</w:t>
      </w:r>
      <w:r>
        <w:t>:</w:t>
      </w:r>
      <w:r>
        <w:tab/>
        <w:t>Wide-band transmission mode</w:t>
      </w:r>
      <w:r>
        <w:t xml:space="preserve">s </w:t>
      </w:r>
      <w:r>
        <w:t>should have separate UE capabilities.</w:t>
      </w:r>
      <w:bookmarkEnd w:id="9"/>
      <w:bookmarkEnd w:id="10"/>
      <w:bookmarkEnd w:id="11"/>
      <w:bookmarkEnd w:id="12"/>
      <w:bookmarkEnd w:id="13"/>
      <w:bookmarkEnd w:id="14"/>
      <w:bookmarkEnd w:id="15"/>
      <w:bookmarkEnd w:id="16"/>
      <w:bookmarkEnd w:id="17"/>
    </w:p>
    <w:p w14:paraId="5C938F65" w14:textId="541988D4" w:rsidR="005532C0" w:rsidRDefault="005532C0" w:rsidP="005532C0">
      <w:pPr>
        <w:pStyle w:val="Proposal"/>
      </w:pPr>
      <w:bookmarkStart w:id="18" w:name="_Toc47700181"/>
      <w:bookmarkStart w:id="19" w:name="_Toc47700212"/>
      <w:bookmarkStart w:id="20" w:name="_Toc47700278"/>
      <w:bookmarkStart w:id="21" w:name="_Toc47700985"/>
      <w:r>
        <w:t>Proposal 2</w:t>
      </w:r>
      <w:r>
        <w:t>b</w:t>
      </w:r>
      <w:r>
        <w:t>:</w:t>
      </w:r>
      <w:r>
        <w:tab/>
      </w:r>
      <w:r>
        <w:t>It can be discussed further whether we need to have strict differentiation between all three modes</w:t>
      </w:r>
      <w:r w:rsidR="007B56DB">
        <w:t xml:space="preserve"> / sub-modes </w:t>
      </w:r>
      <w:r>
        <w:t>or whether transmission mode 1 can be construed as the baseline NR-U functionality.</w:t>
      </w:r>
      <w:bookmarkEnd w:id="18"/>
      <w:bookmarkEnd w:id="19"/>
      <w:bookmarkEnd w:id="20"/>
      <w:bookmarkEnd w:id="21"/>
      <w:r>
        <w:t xml:space="preserve"> </w:t>
      </w:r>
    </w:p>
    <w:p w14:paraId="35FC6EF6" w14:textId="77777777" w:rsidR="005532C0" w:rsidRDefault="005532C0" w:rsidP="005532C0"/>
    <w:p w14:paraId="786025DF" w14:textId="7618F1AD" w:rsidR="004B5392" w:rsidRDefault="00B0333C" w:rsidP="005532C0">
      <w:r>
        <w:t>Finally, wide-band transmission modes should be ideally separated between DL and UL. The rationale is that while a UE may support transmission modes 2 or 3 in DL, the implementation complexity associated with UL transmission still may restrict it to wide-band transmission mode 1.</w:t>
      </w:r>
    </w:p>
    <w:p w14:paraId="728D0465" w14:textId="28E39831" w:rsidR="00B0333C" w:rsidRDefault="00B0333C" w:rsidP="00AD5712">
      <w:pPr>
        <w:pStyle w:val="Proposal"/>
      </w:pPr>
      <w:bookmarkStart w:id="22" w:name="_Toc47372347"/>
      <w:bookmarkStart w:id="23" w:name="_Toc47382312"/>
      <w:bookmarkStart w:id="24" w:name="_Toc47522840"/>
      <w:bookmarkStart w:id="25" w:name="_Toc47700182"/>
      <w:bookmarkStart w:id="26" w:name="_Toc47700213"/>
      <w:bookmarkStart w:id="27" w:name="_Toc47700279"/>
      <w:bookmarkStart w:id="28" w:name="_Toc47700986"/>
      <w:r>
        <w:t xml:space="preserve">Proposal </w:t>
      </w:r>
      <w:r w:rsidR="000D5C14">
        <w:t>3</w:t>
      </w:r>
      <w:r>
        <w:t>:</w:t>
      </w:r>
      <w:r>
        <w:tab/>
        <w:t>Wide-band transmission modes should be differentiated between DL and UL.</w:t>
      </w:r>
      <w:bookmarkEnd w:id="22"/>
      <w:bookmarkEnd w:id="23"/>
      <w:bookmarkEnd w:id="24"/>
      <w:bookmarkEnd w:id="25"/>
      <w:bookmarkEnd w:id="26"/>
      <w:bookmarkEnd w:id="27"/>
      <w:bookmarkEnd w:id="28"/>
    </w:p>
    <w:p w14:paraId="66918CD9" w14:textId="77777777" w:rsidR="005532C0" w:rsidRDefault="005532C0" w:rsidP="00BD401E">
      <w:pPr>
        <w:pStyle w:val="CommentText"/>
      </w:pPr>
    </w:p>
    <w:p w14:paraId="193E3011" w14:textId="61516A27" w:rsidR="00DC6353" w:rsidRDefault="00DC6353" w:rsidP="00BD401E">
      <w:pPr>
        <w:pStyle w:val="CommentText"/>
      </w:pPr>
      <w:r>
        <w:t xml:space="preserve">It is also worth noting that if a UE does not support a particular transmission mode then it can be always compensated </w:t>
      </w:r>
      <w:r w:rsidR="004404A5">
        <w:t xml:space="preserve">or </w:t>
      </w:r>
      <w:r w:rsidR="005532C0">
        <w:t xml:space="preserve">even </w:t>
      </w:r>
      <w:r w:rsidR="004404A5">
        <w:t xml:space="preserve">optimised </w:t>
      </w:r>
      <w:r>
        <w:t xml:space="preserve">by the corresponding combination of carrier-aggregation and wide-band operation. As an example, </w:t>
      </w:r>
      <w:r w:rsidR="004404A5">
        <w:t xml:space="preserve">if the base station has 80MHz channel but </w:t>
      </w:r>
      <w:r>
        <w:t xml:space="preserve">a UE supports only wide-band transmission mode 2, </w:t>
      </w:r>
      <w:r w:rsidR="004404A5">
        <w:t xml:space="preserve">then it is still possible to configure 80MHz channel with the understanding that non-contiguous LBT outcomes – 1001, 1010, 0101 – will not be supported by the UE. As an alternative, </w:t>
      </w:r>
      <w:r>
        <w:t>the network can consider configuring 40+40MHz carrier aggregation instead of a single carrier spanning whole 80MHz</w:t>
      </w:r>
      <w:r w:rsidR="004404A5">
        <w:t xml:space="preserve"> </w:t>
      </w:r>
      <w:r w:rsidR="005532C0">
        <w:t>because transmission mode 3 brings benefits for channels larger than 40MHz. In other words,</w:t>
      </w:r>
      <w:r w:rsidR="004404A5">
        <w:t xml:space="preserve"> each 40MHz carrier will work as an independent entity </w:t>
      </w:r>
      <w:r w:rsidR="005532C0">
        <w:t xml:space="preserve">leveraging wide-band transmission mode 2 </w:t>
      </w:r>
      <w:r w:rsidR="004404A5">
        <w:t xml:space="preserve">and </w:t>
      </w:r>
      <w:r w:rsidR="005532C0">
        <w:t>will</w:t>
      </w:r>
      <w:r w:rsidR="004404A5">
        <w:t xml:space="preserve"> not depend on the LBT outcome on another carrier.</w:t>
      </w:r>
      <w:r>
        <w:t xml:space="preserve">  </w:t>
      </w:r>
    </w:p>
    <w:p w14:paraId="1FC4FB21" w14:textId="64D89A85" w:rsidR="00D56A52" w:rsidRDefault="00D56A52" w:rsidP="003E7753">
      <w:pPr>
        <w:pStyle w:val="Proposal"/>
      </w:pPr>
    </w:p>
    <w:p w14:paraId="54F4F998" w14:textId="24F9DF83" w:rsidR="00D14C7B" w:rsidRDefault="00D14C7B" w:rsidP="00D14C7B">
      <w:pPr>
        <w:pStyle w:val="Heading1"/>
      </w:pPr>
      <w:r>
        <w:t>3</w:t>
      </w:r>
      <w:r>
        <w:tab/>
        <w:t>Intra-carrier guard band for 60kHz SCS</w:t>
      </w:r>
    </w:p>
    <w:p w14:paraId="2C30D74F" w14:textId="4D5E1E43" w:rsidR="00D14C7B" w:rsidRDefault="00D14C7B" w:rsidP="00D14C7B">
      <w:r>
        <w:t>To enable wide-band operation RAN WG4 has devised so-called intra-carrier guard bands which on the one hand can be scheduled with data when LBT passes for contiguous sub-bands, and at the same time will work as guard bands when LBT fails.</w:t>
      </w:r>
      <w:r>
        <w:t xml:space="preserve"> RAN WG4 agreed the in-carrier guard-band sizes for different channel bandwidths and subcarrier sizes as presented in Table</w:t>
      </w:r>
      <w:r>
        <w:t xml:space="preserve"> 3</w:t>
      </w:r>
      <w:r>
        <w:t>-</w:t>
      </w:r>
      <w:r>
        <w:t>1</w:t>
      </w:r>
      <w:r>
        <w:t xml:space="preserve"> below. </w:t>
      </w:r>
      <w:r>
        <w:t>To</w:t>
      </w:r>
      <w:r>
        <w:t xml:space="preserve"> achieve the best spectrum utilization the number of RBs for wideband operation is the same as for the corresponding channel bandwidth size</w:t>
      </w:r>
      <w:r>
        <w:t>.</w:t>
      </w:r>
      <w:r>
        <w:t xml:space="preserve"> As an example, for 40MHz channel at 15kHz SCS, the wideband RB allocation is 105-6-105, and the total number of RBs 216, i.e. the same as for the normal 40MHz channel. </w:t>
      </w:r>
    </w:p>
    <w:p w14:paraId="68C0C504" w14:textId="77777777" w:rsidR="00D14C7B" w:rsidRDefault="00D14C7B" w:rsidP="00D14C7B"/>
    <w:p w14:paraId="46532A0E" w14:textId="50DE03BF" w:rsidR="00D14C7B" w:rsidRDefault="00D14C7B" w:rsidP="00D14C7B">
      <w:pPr>
        <w:pStyle w:val="TH"/>
      </w:pPr>
      <w:r>
        <w:t xml:space="preserve">Table </w:t>
      </w:r>
      <w:r>
        <w:t>3</w:t>
      </w:r>
      <w:r>
        <w:t>-</w:t>
      </w:r>
      <w:r>
        <w:t>1</w:t>
      </w:r>
      <w:r>
        <w:t>: Agreed in-carrier guard band sizes.</w:t>
      </w:r>
    </w:p>
    <w:tbl>
      <w:tblPr>
        <w:tblW w:w="9488" w:type="dxa"/>
        <w:tblLayout w:type="fixed"/>
        <w:tblCellMar>
          <w:left w:w="0" w:type="dxa"/>
          <w:right w:w="0" w:type="dxa"/>
        </w:tblCellMar>
        <w:tblLook w:val="0420" w:firstRow="1" w:lastRow="0" w:firstColumn="0" w:lastColumn="0" w:noHBand="0" w:noVBand="1"/>
      </w:tblPr>
      <w:tblGrid>
        <w:gridCol w:w="1266"/>
        <w:gridCol w:w="992"/>
        <w:gridCol w:w="993"/>
        <w:gridCol w:w="992"/>
        <w:gridCol w:w="1417"/>
        <w:gridCol w:w="1134"/>
        <w:gridCol w:w="1701"/>
        <w:gridCol w:w="993"/>
      </w:tblGrid>
      <w:tr w:rsidR="00D14C7B" w:rsidRPr="00294E47" w14:paraId="5089019E" w14:textId="77777777" w:rsidTr="00165D3B">
        <w:tc>
          <w:tcPr>
            <w:tcW w:w="126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F8141BC" w14:textId="77777777" w:rsidR="00D14C7B" w:rsidRPr="00294E47" w:rsidRDefault="00D14C7B" w:rsidP="00165D3B">
            <w:pPr>
              <w:rPr>
                <w:sz w:val="15"/>
                <w:szCs w:val="15"/>
                <w:lang w:val="de-DE"/>
              </w:rPr>
            </w:pPr>
            <w:r w:rsidRPr="00294E47">
              <w:rPr>
                <w:b/>
                <w:bCs/>
                <w:sz w:val="15"/>
                <w:szCs w:val="15"/>
              </w:rPr>
              <w:t>SCS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CC3C3A8" w14:textId="77777777" w:rsidR="00D14C7B" w:rsidRPr="00294E47" w:rsidRDefault="00D14C7B" w:rsidP="00165D3B">
            <w:pPr>
              <w:rPr>
                <w:sz w:val="15"/>
                <w:szCs w:val="15"/>
                <w:lang w:val="de-DE"/>
              </w:rPr>
            </w:pPr>
            <w:r w:rsidRPr="00294E47">
              <w:rPr>
                <w:b/>
                <w:bCs/>
                <w:sz w:val="15"/>
                <w:szCs w:val="15"/>
              </w:rPr>
              <w:t>20MHz Channels</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D35CF56" w14:textId="77777777" w:rsidR="00D14C7B" w:rsidRPr="00294E47" w:rsidRDefault="00D14C7B" w:rsidP="00165D3B">
            <w:pPr>
              <w:rPr>
                <w:sz w:val="15"/>
                <w:szCs w:val="15"/>
                <w:lang w:val="de-DE"/>
              </w:rPr>
            </w:pPr>
            <w:r w:rsidRPr="00294E47">
              <w:rPr>
                <w:b/>
                <w:bCs/>
                <w:sz w:val="15"/>
                <w:szCs w:val="15"/>
              </w:rPr>
              <w:t>40MHz Channels</w:t>
            </w:r>
          </w:p>
        </w:tc>
        <w:tc>
          <w:tcPr>
            <w:tcW w:w="2551"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45FDEC6" w14:textId="77777777" w:rsidR="00D14C7B" w:rsidRPr="00294E47" w:rsidRDefault="00D14C7B" w:rsidP="00165D3B">
            <w:pPr>
              <w:rPr>
                <w:sz w:val="15"/>
                <w:szCs w:val="15"/>
                <w:lang w:val="de-DE"/>
              </w:rPr>
            </w:pPr>
            <w:r w:rsidRPr="00294E47">
              <w:rPr>
                <w:b/>
                <w:bCs/>
                <w:sz w:val="15"/>
                <w:szCs w:val="15"/>
              </w:rPr>
              <w:t>60MHz Channels</w:t>
            </w:r>
          </w:p>
        </w:tc>
        <w:tc>
          <w:tcPr>
            <w:tcW w:w="2694"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CF2252C" w14:textId="77777777" w:rsidR="00D14C7B" w:rsidRPr="00294E47" w:rsidRDefault="00D14C7B" w:rsidP="00165D3B">
            <w:pPr>
              <w:rPr>
                <w:sz w:val="15"/>
                <w:szCs w:val="15"/>
                <w:lang w:val="de-DE"/>
              </w:rPr>
            </w:pPr>
            <w:r w:rsidRPr="00294E47">
              <w:rPr>
                <w:b/>
                <w:bCs/>
                <w:sz w:val="15"/>
                <w:szCs w:val="15"/>
              </w:rPr>
              <w:t>80MHz Channels</w:t>
            </w:r>
          </w:p>
        </w:tc>
      </w:tr>
      <w:tr w:rsidR="00D14C7B" w:rsidRPr="00294E47" w14:paraId="4661590A" w14:textId="77777777" w:rsidTr="00165D3B">
        <w:trPr>
          <w:trHeight w:val="397"/>
        </w:trPr>
        <w:tc>
          <w:tcPr>
            <w:tcW w:w="12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30FF52C" w14:textId="77777777" w:rsidR="00D14C7B" w:rsidRPr="00294E47" w:rsidRDefault="00D14C7B" w:rsidP="00165D3B">
            <w:pPr>
              <w:rPr>
                <w:sz w:val="15"/>
                <w:szCs w:val="15"/>
                <w:lang w:val="de-DE"/>
              </w:rPr>
            </w:pPr>
            <w:r w:rsidRPr="00294E47">
              <w:rPr>
                <w:sz w:val="15"/>
                <w:szCs w:val="15"/>
              </w:rPr>
              <w:t>15KHz</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3D6C9C" w14:textId="77777777" w:rsidR="00D14C7B" w:rsidRPr="00294E47" w:rsidRDefault="00D14C7B" w:rsidP="00165D3B">
            <w:pPr>
              <w:rPr>
                <w:sz w:val="15"/>
                <w:szCs w:val="15"/>
                <w:lang w:val="de-DE"/>
              </w:rPr>
            </w:pPr>
            <w:r w:rsidRPr="00294E47">
              <w:rPr>
                <w:sz w:val="15"/>
                <w:szCs w:val="15"/>
              </w:rPr>
              <w:t>106</w:t>
            </w:r>
          </w:p>
        </w:tc>
        <w:tc>
          <w:tcPr>
            <w:tcW w:w="99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D7C450E" w14:textId="77777777" w:rsidR="00D14C7B" w:rsidRPr="00294E47" w:rsidRDefault="00D14C7B" w:rsidP="00165D3B">
            <w:pPr>
              <w:rPr>
                <w:sz w:val="15"/>
                <w:szCs w:val="15"/>
                <w:lang w:val="de-DE"/>
              </w:rPr>
            </w:pPr>
            <w:r w:rsidRPr="00294E47">
              <w:rPr>
                <w:sz w:val="15"/>
                <w:szCs w:val="15"/>
              </w:rPr>
              <w:t>105-6-105</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372269E" w14:textId="77777777" w:rsidR="00D14C7B" w:rsidRPr="00294E47" w:rsidRDefault="00D14C7B" w:rsidP="00165D3B">
            <w:pPr>
              <w:rPr>
                <w:sz w:val="15"/>
                <w:szCs w:val="15"/>
                <w:lang w:val="de-DE"/>
              </w:rPr>
            </w:pPr>
            <w:r w:rsidRPr="00294E47">
              <w:rPr>
                <w:sz w:val="15"/>
                <w:szCs w:val="15"/>
              </w:rPr>
              <w:t>Max. 216</w:t>
            </w:r>
          </w:p>
        </w:tc>
        <w:tc>
          <w:tcPr>
            <w:tcW w:w="2551"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D40510A" w14:textId="77777777" w:rsidR="00D14C7B" w:rsidRPr="00294E47" w:rsidRDefault="00D14C7B" w:rsidP="00165D3B">
            <w:pPr>
              <w:rPr>
                <w:sz w:val="15"/>
                <w:szCs w:val="15"/>
                <w:lang w:val="de-DE"/>
              </w:rPr>
            </w:pPr>
            <w:r w:rsidRPr="00294E47">
              <w:rPr>
                <w:sz w:val="15"/>
                <w:szCs w:val="15"/>
              </w:rPr>
              <w:t>N/A</w:t>
            </w:r>
          </w:p>
        </w:tc>
        <w:tc>
          <w:tcPr>
            <w:tcW w:w="2694"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71DE13" w14:textId="77777777" w:rsidR="00D14C7B" w:rsidRPr="00294E47" w:rsidRDefault="00D14C7B" w:rsidP="00165D3B">
            <w:pPr>
              <w:rPr>
                <w:sz w:val="15"/>
                <w:szCs w:val="15"/>
                <w:lang w:val="de-DE"/>
              </w:rPr>
            </w:pPr>
            <w:r w:rsidRPr="00294E47">
              <w:rPr>
                <w:sz w:val="15"/>
                <w:szCs w:val="15"/>
              </w:rPr>
              <w:t>N/A</w:t>
            </w:r>
          </w:p>
        </w:tc>
      </w:tr>
      <w:tr w:rsidR="00D14C7B" w:rsidRPr="00294E47" w14:paraId="1470AB5B" w14:textId="77777777" w:rsidTr="00165D3B">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FA1C22E" w14:textId="77777777" w:rsidR="00D14C7B" w:rsidRPr="00294E47" w:rsidRDefault="00D14C7B" w:rsidP="00165D3B">
            <w:pPr>
              <w:rPr>
                <w:sz w:val="15"/>
                <w:szCs w:val="15"/>
                <w:lang w:val="de-DE"/>
              </w:rPr>
            </w:pPr>
            <w:r w:rsidRPr="00294E47">
              <w:rPr>
                <w:sz w:val="15"/>
                <w:szCs w:val="15"/>
              </w:rPr>
              <w:t>30KHz</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BA3279E" w14:textId="77777777" w:rsidR="00D14C7B" w:rsidRPr="00294E47" w:rsidRDefault="00D14C7B" w:rsidP="00165D3B">
            <w:pPr>
              <w:rPr>
                <w:sz w:val="15"/>
                <w:szCs w:val="15"/>
                <w:lang w:val="de-DE"/>
              </w:rPr>
            </w:pPr>
            <w:r w:rsidRPr="00294E47">
              <w:rPr>
                <w:sz w:val="15"/>
                <w:szCs w:val="15"/>
              </w:rPr>
              <w:t>51</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D33A81F" w14:textId="77777777" w:rsidR="00D14C7B" w:rsidRPr="00294E47" w:rsidRDefault="00D14C7B" w:rsidP="00165D3B">
            <w:pPr>
              <w:rPr>
                <w:sz w:val="15"/>
                <w:szCs w:val="15"/>
                <w:lang w:val="de-DE"/>
              </w:rPr>
            </w:pPr>
            <w:r w:rsidRPr="00294E47">
              <w:rPr>
                <w:sz w:val="15"/>
                <w:szCs w:val="15"/>
              </w:rPr>
              <w:t>50-6-50</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1C5914B" w14:textId="77777777" w:rsidR="00D14C7B" w:rsidRPr="00294E47" w:rsidRDefault="00D14C7B" w:rsidP="00165D3B">
            <w:pPr>
              <w:rPr>
                <w:sz w:val="15"/>
                <w:szCs w:val="15"/>
                <w:lang w:val="de-DE"/>
              </w:rPr>
            </w:pPr>
            <w:r w:rsidRPr="00294E47">
              <w:rPr>
                <w:sz w:val="15"/>
                <w:szCs w:val="15"/>
              </w:rPr>
              <w:t>Max. 106</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363B088" w14:textId="77777777" w:rsidR="00D14C7B" w:rsidRPr="00294E47" w:rsidRDefault="00D14C7B" w:rsidP="00165D3B">
            <w:pPr>
              <w:rPr>
                <w:sz w:val="15"/>
                <w:szCs w:val="15"/>
                <w:lang w:val="de-DE"/>
              </w:rPr>
            </w:pPr>
            <w:r w:rsidRPr="00294E47">
              <w:rPr>
                <w:sz w:val="15"/>
                <w:szCs w:val="15"/>
                <w:lang w:val="en-US"/>
              </w:rPr>
              <w:t>50-6-50-6-50</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278136C" w14:textId="77777777" w:rsidR="00D14C7B" w:rsidRPr="00294E47" w:rsidRDefault="00D14C7B" w:rsidP="00165D3B">
            <w:pPr>
              <w:rPr>
                <w:sz w:val="15"/>
                <w:szCs w:val="15"/>
                <w:lang w:val="de-DE"/>
              </w:rPr>
            </w:pPr>
            <w:r w:rsidRPr="00294E47">
              <w:rPr>
                <w:sz w:val="15"/>
                <w:szCs w:val="15"/>
              </w:rPr>
              <w:t>Max. 162</w:t>
            </w:r>
          </w:p>
        </w:tc>
        <w:tc>
          <w:tcPr>
            <w:tcW w:w="170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38DCAB0" w14:textId="77777777" w:rsidR="00D14C7B" w:rsidRPr="00294E47" w:rsidRDefault="00D14C7B" w:rsidP="00165D3B">
            <w:pPr>
              <w:rPr>
                <w:sz w:val="15"/>
                <w:szCs w:val="15"/>
                <w:lang w:val="de-DE"/>
              </w:rPr>
            </w:pPr>
            <w:r w:rsidRPr="00294E47">
              <w:rPr>
                <w:sz w:val="15"/>
                <w:szCs w:val="15"/>
                <w:lang w:val="en-US"/>
              </w:rPr>
              <w:t>50-6-50-5-50-6-50</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A57B1C" w14:textId="77777777" w:rsidR="00D14C7B" w:rsidRPr="00294E47" w:rsidRDefault="00D14C7B" w:rsidP="00165D3B">
            <w:pPr>
              <w:rPr>
                <w:sz w:val="15"/>
                <w:szCs w:val="15"/>
                <w:lang w:val="de-DE"/>
              </w:rPr>
            </w:pPr>
            <w:r w:rsidRPr="00294E47">
              <w:rPr>
                <w:sz w:val="15"/>
                <w:szCs w:val="15"/>
              </w:rPr>
              <w:t>Max. 217</w:t>
            </w:r>
          </w:p>
        </w:tc>
      </w:tr>
      <w:tr w:rsidR="00D14C7B" w:rsidRPr="00294E47" w14:paraId="4B6ECDFB" w14:textId="77777777" w:rsidTr="00165D3B">
        <w:tc>
          <w:tcPr>
            <w:tcW w:w="126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16A6ECB" w14:textId="77777777" w:rsidR="00D14C7B" w:rsidRPr="00294E47" w:rsidRDefault="00D14C7B" w:rsidP="00165D3B">
            <w:pPr>
              <w:rPr>
                <w:sz w:val="15"/>
                <w:szCs w:val="15"/>
                <w:lang w:val="de-DE"/>
              </w:rPr>
            </w:pPr>
            <w:r w:rsidRPr="00294E47">
              <w:rPr>
                <w:sz w:val="15"/>
                <w:szCs w:val="15"/>
              </w:rPr>
              <w:t>Alt. 1 60KHz</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292615" w14:textId="77777777" w:rsidR="00D14C7B" w:rsidRPr="00294E47" w:rsidRDefault="00D14C7B" w:rsidP="00165D3B">
            <w:pPr>
              <w:rPr>
                <w:sz w:val="15"/>
                <w:szCs w:val="15"/>
                <w:lang w:val="de-DE"/>
              </w:rPr>
            </w:pPr>
            <w:r w:rsidRPr="00294E47">
              <w:rPr>
                <w:sz w:val="15"/>
                <w:szCs w:val="15"/>
              </w:rPr>
              <w:t>24</w:t>
            </w:r>
          </w:p>
        </w:tc>
        <w:tc>
          <w:tcPr>
            <w:tcW w:w="99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4A6C047" w14:textId="77777777" w:rsidR="00D14C7B" w:rsidRPr="00294E47" w:rsidRDefault="00D14C7B" w:rsidP="00165D3B">
            <w:pPr>
              <w:rPr>
                <w:sz w:val="15"/>
                <w:szCs w:val="15"/>
                <w:lang w:val="de-DE"/>
              </w:rPr>
            </w:pPr>
            <w:r w:rsidRPr="00294E47">
              <w:rPr>
                <w:sz w:val="15"/>
                <w:szCs w:val="15"/>
              </w:rPr>
              <w:t>[23-5-23]</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C2B5D06" w14:textId="77777777" w:rsidR="00D14C7B" w:rsidRPr="00294E47" w:rsidRDefault="00D14C7B" w:rsidP="00165D3B">
            <w:pPr>
              <w:rPr>
                <w:sz w:val="15"/>
                <w:szCs w:val="15"/>
                <w:lang w:val="de-DE"/>
              </w:rPr>
            </w:pPr>
            <w:r w:rsidRPr="00294E47">
              <w:rPr>
                <w:sz w:val="15"/>
                <w:szCs w:val="15"/>
              </w:rPr>
              <w:t>Max. 51</w:t>
            </w:r>
          </w:p>
        </w:tc>
        <w:tc>
          <w:tcPr>
            <w:tcW w:w="14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69CAB56" w14:textId="77777777" w:rsidR="00D14C7B" w:rsidRPr="00294E47" w:rsidRDefault="00D14C7B" w:rsidP="00165D3B">
            <w:pPr>
              <w:rPr>
                <w:sz w:val="15"/>
                <w:szCs w:val="15"/>
                <w:lang w:val="de-DE"/>
              </w:rPr>
            </w:pPr>
            <w:r w:rsidRPr="00294E47">
              <w:rPr>
                <w:sz w:val="15"/>
                <w:szCs w:val="15"/>
              </w:rPr>
              <w:t>[23-5-23-5-23]</w:t>
            </w:r>
          </w:p>
        </w:tc>
        <w:tc>
          <w:tcPr>
            <w:tcW w:w="113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365DB55" w14:textId="77777777" w:rsidR="00D14C7B" w:rsidRPr="00294E47" w:rsidRDefault="00D14C7B" w:rsidP="00165D3B">
            <w:pPr>
              <w:rPr>
                <w:sz w:val="15"/>
                <w:szCs w:val="15"/>
                <w:lang w:val="de-DE"/>
              </w:rPr>
            </w:pPr>
            <w:r w:rsidRPr="00294E47">
              <w:rPr>
                <w:sz w:val="15"/>
                <w:szCs w:val="15"/>
              </w:rPr>
              <w:t>Max. 79</w:t>
            </w:r>
          </w:p>
        </w:tc>
        <w:tc>
          <w:tcPr>
            <w:tcW w:w="170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59C2499" w14:textId="77777777" w:rsidR="00D14C7B" w:rsidRPr="00294E47" w:rsidRDefault="00D14C7B" w:rsidP="00165D3B">
            <w:pPr>
              <w:rPr>
                <w:sz w:val="15"/>
                <w:szCs w:val="15"/>
                <w:lang w:val="de-DE"/>
              </w:rPr>
            </w:pPr>
            <w:r w:rsidRPr="00294E47">
              <w:rPr>
                <w:sz w:val="15"/>
                <w:szCs w:val="15"/>
              </w:rPr>
              <w:t>[23-5-23-5-23-5-23]</w:t>
            </w:r>
          </w:p>
        </w:tc>
        <w:tc>
          <w:tcPr>
            <w:tcW w:w="99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234B774" w14:textId="77777777" w:rsidR="00D14C7B" w:rsidRPr="00294E47" w:rsidRDefault="00D14C7B" w:rsidP="00165D3B">
            <w:pPr>
              <w:rPr>
                <w:sz w:val="15"/>
                <w:szCs w:val="15"/>
                <w:lang w:val="de-DE"/>
              </w:rPr>
            </w:pPr>
            <w:r w:rsidRPr="00294E47">
              <w:rPr>
                <w:sz w:val="15"/>
                <w:szCs w:val="15"/>
              </w:rPr>
              <w:t>Max. 107</w:t>
            </w:r>
          </w:p>
        </w:tc>
      </w:tr>
      <w:tr w:rsidR="00D14C7B" w:rsidRPr="00294E47" w14:paraId="731E97FB" w14:textId="77777777" w:rsidTr="00165D3B">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4E10526" w14:textId="77777777" w:rsidR="00D14C7B" w:rsidRPr="00294E47" w:rsidRDefault="00D14C7B" w:rsidP="00165D3B">
            <w:pPr>
              <w:rPr>
                <w:sz w:val="15"/>
                <w:szCs w:val="15"/>
                <w:lang w:val="de-DE"/>
              </w:rPr>
            </w:pPr>
            <w:r w:rsidRPr="00294E47">
              <w:rPr>
                <w:sz w:val="15"/>
                <w:szCs w:val="15"/>
              </w:rPr>
              <w:t>Alt. 2 60KHz</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78F8361" w14:textId="77777777" w:rsidR="00D14C7B" w:rsidRPr="00294E47" w:rsidRDefault="00D14C7B" w:rsidP="00165D3B">
            <w:pPr>
              <w:rPr>
                <w:sz w:val="15"/>
                <w:szCs w:val="15"/>
                <w:lang w:val="de-DE"/>
              </w:rPr>
            </w:pPr>
            <w:r w:rsidRPr="00294E47">
              <w:rPr>
                <w:sz w:val="15"/>
                <w:szCs w:val="15"/>
              </w:rPr>
              <w:t>[25]</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7B014C0" w14:textId="77777777" w:rsidR="00D14C7B" w:rsidRPr="00294E47" w:rsidRDefault="00D14C7B" w:rsidP="00165D3B">
            <w:pPr>
              <w:rPr>
                <w:sz w:val="15"/>
                <w:szCs w:val="15"/>
                <w:lang w:val="de-DE"/>
              </w:rPr>
            </w:pPr>
            <w:r w:rsidRPr="00294E47">
              <w:rPr>
                <w:sz w:val="15"/>
                <w:szCs w:val="15"/>
              </w:rPr>
              <w:t>[24-3-24]</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918F4FA" w14:textId="77777777" w:rsidR="00D14C7B" w:rsidRPr="00294E47" w:rsidRDefault="00D14C7B" w:rsidP="00165D3B">
            <w:pPr>
              <w:rPr>
                <w:sz w:val="15"/>
                <w:szCs w:val="15"/>
                <w:lang w:val="de-DE"/>
              </w:rPr>
            </w:pPr>
            <w:r w:rsidRPr="00294E47">
              <w:rPr>
                <w:sz w:val="15"/>
                <w:szCs w:val="15"/>
              </w:rPr>
              <w:t>Max. 51</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D7ACB85" w14:textId="77777777" w:rsidR="00D14C7B" w:rsidRPr="00294E47" w:rsidRDefault="00D14C7B" w:rsidP="00165D3B">
            <w:pPr>
              <w:rPr>
                <w:sz w:val="15"/>
                <w:szCs w:val="15"/>
                <w:lang w:val="de-DE"/>
              </w:rPr>
            </w:pPr>
            <w:r w:rsidRPr="00294E47">
              <w:rPr>
                <w:sz w:val="15"/>
                <w:szCs w:val="15"/>
              </w:rPr>
              <w:t>[24-3-25-3-24]</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ADEB012" w14:textId="77777777" w:rsidR="00D14C7B" w:rsidRPr="00294E47" w:rsidRDefault="00D14C7B" w:rsidP="00165D3B">
            <w:pPr>
              <w:rPr>
                <w:sz w:val="15"/>
                <w:szCs w:val="15"/>
                <w:lang w:val="de-DE"/>
              </w:rPr>
            </w:pPr>
            <w:r w:rsidRPr="00294E47">
              <w:rPr>
                <w:sz w:val="15"/>
                <w:szCs w:val="15"/>
              </w:rPr>
              <w:t>Max. 79</w:t>
            </w:r>
          </w:p>
        </w:tc>
        <w:tc>
          <w:tcPr>
            <w:tcW w:w="170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C1554AA" w14:textId="77777777" w:rsidR="00D14C7B" w:rsidRPr="00294E47" w:rsidRDefault="00D14C7B" w:rsidP="00165D3B">
            <w:pPr>
              <w:rPr>
                <w:sz w:val="15"/>
                <w:szCs w:val="15"/>
                <w:lang w:val="de-DE"/>
              </w:rPr>
            </w:pPr>
            <w:r w:rsidRPr="00294E47">
              <w:rPr>
                <w:sz w:val="15"/>
                <w:szCs w:val="15"/>
              </w:rPr>
              <w:t>[24-4-24-3-24-4-24]</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95DEB75" w14:textId="77777777" w:rsidR="00D14C7B" w:rsidRPr="00294E47" w:rsidRDefault="00D14C7B" w:rsidP="00165D3B">
            <w:pPr>
              <w:rPr>
                <w:sz w:val="15"/>
                <w:szCs w:val="15"/>
                <w:lang w:val="de-DE"/>
              </w:rPr>
            </w:pPr>
            <w:r w:rsidRPr="00294E47">
              <w:rPr>
                <w:sz w:val="15"/>
                <w:szCs w:val="15"/>
              </w:rPr>
              <w:t>Max. 107</w:t>
            </w:r>
          </w:p>
        </w:tc>
      </w:tr>
    </w:tbl>
    <w:p w14:paraId="77B96607" w14:textId="77777777" w:rsidR="00D14C7B" w:rsidRDefault="00D14C7B" w:rsidP="00D14C7B"/>
    <w:p w14:paraId="55181FF3" w14:textId="137C2631" w:rsidR="00D14C7B" w:rsidRPr="00A826A1" w:rsidRDefault="00D14C7B" w:rsidP="00D14C7B">
      <w:r>
        <w:lastRenderedPageBreak/>
        <w:t xml:space="preserve">Referring specifically to 60kHz SCS, </w:t>
      </w:r>
      <w:r>
        <w:t xml:space="preserve">there are </w:t>
      </w:r>
      <w:r>
        <w:t xml:space="preserve">two alternatives for intra-carrier guard bands and number of usable of RBs. Alternative 1 is based on </w:t>
      </w:r>
      <w:r>
        <w:t xml:space="preserve">legacy </w:t>
      </w:r>
      <w:r>
        <w:t>24 RBs for 20MHz channel and uses 5 RBs for in-carrier guard band. Alternative 2, in turn, exploits the fact that RAN WG4 wants to increase spectral utilization for 60kHz SCS and considers 25 RBs for 20MHz channel. As the outcome, only 3 RBs are reserved for in-carrier guard band.</w:t>
      </w:r>
    </w:p>
    <w:p w14:paraId="198E7E0D" w14:textId="77777777" w:rsidR="00D14C7B" w:rsidRDefault="00D14C7B" w:rsidP="00D14C7B">
      <w:r>
        <w:t>During the previous meetings, the following options were identified on how to proceed:</w:t>
      </w:r>
    </w:p>
    <w:p w14:paraId="0A868B39" w14:textId="77777777" w:rsidR="00D14C7B" w:rsidRDefault="00D14C7B" w:rsidP="00D14C7B">
      <w:pPr>
        <w:pStyle w:val="B1"/>
      </w:pPr>
      <w:r>
        <w:t>a)</w:t>
      </w:r>
      <w:r>
        <w:tab/>
        <w:t>adopt only alternative 1;</w:t>
      </w:r>
    </w:p>
    <w:p w14:paraId="6697BCA8" w14:textId="77777777" w:rsidR="00D14C7B" w:rsidRDefault="00D14C7B" w:rsidP="00D14C7B">
      <w:pPr>
        <w:pStyle w:val="B1"/>
      </w:pPr>
      <w:r>
        <w:t>b)</w:t>
      </w:r>
      <w:r>
        <w:tab/>
        <w:t>adopt alternative 1 as a baseline, and alternative 2 is an optional feature when a UE supports 25 RB for 60kHz SCS;</w:t>
      </w:r>
    </w:p>
    <w:p w14:paraId="662D66A6" w14:textId="77777777" w:rsidR="00D14C7B" w:rsidRDefault="00D14C7B" w:rsidP="00D14C7B">
      <w:pPr>
        <w:pStyle w:val="B1"/>
      </w:pPr>
      <w:r>
        <w:t>c)</w:t>
      </w:r>
      <w:r>
        <w:tab/>
        <w:t>adopt only alternative 2;</w:t>
      </w:r>
    </w:p>
    <w:p w14:paraId="76C7E48A" w14:textId="1CD1EE2F" w:rsidR="00D14C7B" w:rsidRDefault="00D14C7B" w:rsidP="00D14C7B">
      <w:r>
        <w:t>Referring to the aforementioned options, it is worth noting that option c) cannot be accepted for the simple reason that RAN WG4 has not decided that 25 RB for the 20MHz channel at 60kHz SCS is the only available solution. In fact, it would be more than logical to assume that if a UE supports 60kHz SCS, then it would be supported for a number of different bands, not only for band n46. And thus, a UE will anyway have to support 24 RB for 60kHz SCS, implementation of which can be reused later also for band n46. From that perspective RAN WG4 can consider further either option a) or b), whereupon in case of option b) alternative 2 would be feasible only if a UE supports 25 RBs.</w:t>
      </w:r>
    </w:p>
    <w:p w14:paraId="6D977419" w14:textId="30794563" w:rsidR="00D14C7B" w:rsidRDefault="00D14C7B" w:rsidP="00D14C7B">
      <w:r>
        <w:t xml:space="preserve">Furthermore, while comparing alternative 1 and 2, it is clear that they are identical from the viewpoint of usable RBs for NR-U wideband operation: both alternatives have 51, 79, and 107 RBs for 40, 60, and 80MHz channels, respectively. In other words, if there are adjacent sub-bands in which the LBT procedure succeed, then both alternatives </w:t>
      </w:r>
      <w:r>
        <w:t>will</w:t>
      </w:r>
      <w:r>
        <w:t xml:space="preserve"> yield same spectral utilisation. The only difference between the alternatives is only when only one LBT sub-band succeeds, for which alternative 2 has 1 RB more</w:t>
      </w:r>
      <w:r w:rsidR="005013E5">
        <w:t xml:space="preserve">; and it would make a noticeable difference only </w:t>
      </w:r>
      <w:bookmarkStart w:id="29" w:name="_GoBack"/>
      <w:bookmarkEnd w:id="29"/>
      <w:r w:rsidR="005013E5">
        <w:t>with a large channel requiring a UE to support transmission mode 3</w:t>
      </w:r>
      <w:r>
        <w:t xml:space="preserve">. However, if NR-U is activated in a heavily loaded environment where the LBT procedure does not usually succeed for adjacent sub-bands, then the whole NR-U wideband operation would have lower spectral utilisation comparing to standalone 20MHz carriers. In other words, it is not even clear whether alternative 2 have any noticeable benefits, but it will require additional implementation and testing efforts.   </w:t>
      </w:r>
    </w:p>
    <w:p w14:paraId="664DC78F" w14:textId="32324602" w:rsidR="00D14C7B" w:rsidRDefault="00D14C7B" w:rsidP="00D14C7B">
      <w:pPr>
        <w:pStyle w:val="Proposal"/>
      </w:pPr>
      <w:bookmarkStart w:id="30" w:name="_Toc37012403"/>
      <w:bookmarkStart w:id="31" w:name="_Toc37100065"/>
      <w:bookmarkStart w:id="32" w:name="_Toc37101494"/>
      <w:bookmarkStart w:id="33" w:name="_Toc47700987"/>
      <w:r w:rsidRPr="005F5987">
        <w:t>Proposal</w:t>
      </w:r>
      <w:r w:rsidR="001357DC">
        <w:t xml:space="preserve"> 4</w:t>
      </w:r>
      <w:r w:rsidRPr="005F5987">
        <w:t>:</w:t>
      </w:r>
      <w:r w:rsidRPr="005F5987">
        <w:tab/>
      </w:r>
      <w:r>
        <w:t>For 60kHz SCS, adopt alternative 1 for intra-carrier guard bands (i.e. 5 RBs for in-carrier guard band with 23-5-23 pattern).</w:t>
      </w:r>
      <w:bookmarkEnd w:id="30"/>
      <w:bookmarkEnd w:id="31"/>
      <w:bookmarkEnd w:id="32"/>
      <w:bookmarkEnd w:id="33"/>
      <w:r>
        <w:t xml:space="preserve"> </w:t>
      </w:r>
    </w:p>
    <w:p w14:paraId="50EDA91E" w14:textId="77777777" w:rsidR="00D14C7B" w:rsidRDefault="00D14C7B" w:rsidP="00D14C7B">
      <w:pPr>
        <w:pStyle w:val="Proposal"/>
      </w:pPr>
    </w:p>
    <w:p w14:paraId="64ACD1AE" w14:textId="77777777" w:rsidR="00D14C7B" w:rsidRDefault="00D14C7B" w:rsidP="003E7753">
      <w:pPr>
        <w:pStyle w:val="Proposal"/>
      </w:pPr>
    </w:p>
    <w:p w14:paraId="34C99636" w14:textId="1B642C01" w:rsidR="008E7986" w:rsidRDefault="00D14C7B" w:rsidP="008E7986">
      <w:pPr>
        <w:pStyle w:val="Heading1"/>
      </w:pPr>
      <w:r>
        <w:t>4</w:t>
      </w:r>
      <w:r w:rsidR="008E7986">
        <w:tab/>
        <w:t>Conclusions</w:t>
      </w:r>
    </w:p>
    <w:p w14:paraId="001A58A1" w14:textId="0DD00C9E" w:rsidR="00E72324" w:rsidRDefault="00515AE4" w:rsidP="00E72324">
      <w:r>
        <w:t xml:space="preserve">In this discussion paper we have presented our further considerations for </w:t>
      </w:r>
      <w:r w:rsidR="00194772">
        <w:t>NR-U raising some of the open issues for possible scenarios with wide-band operation and carrier aggregation</w:t>
      </w:r>
      <w:r>
        <w:t>.</w:t>
      </w:r>
      <w:r w:rsidR="00194772">
        <w:t xml:space="preserve"> As a summary of our paper we propose:</w:t>
      </w:r>
    </w:p>
    <w:p w14:paraId="783EB71E" w14:textId="77777777" w:rsidR="005013E5" w:rsidRDefault="0062595A">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rPr>
          <w:b w:val="0"/>
          <w:bCs w:val="0"/>
        </w:rPr>
        <w:instrText xml:space="preserve"> TOC \n \t "Proposal,1" </w:instrText>
      </w:r>
      <w:r>
        <w:rPr>
          <w:b w:val="0"/>
          <w:bCs w:val="0"/>
        </w:rPr>
        <w:fldChar w:fldCharType="separate"/>
      </w:r>
      <w:r w:rsidR="005013E5">
        <w:rPr>
          <w:noProof/>
        </w:rPr>
        <w:t>Proposal 1a:</w:t>
      </w:r>
      <w:r w:rsidR="005013E5">
        <w:rPr>
          <w:rFonts w:asciiTheme="minorHAnsi" w:eastAsiaTheme="minorEastAsia" w:hAnsiTheme="minorHAnsi" w:cstheme="minorBidi"/>
          <w:b w:val="0"/>
          <w:bCs w:val="0"/>
          <w:noProof/>
          <w:sz w:val="24"/>
          <w:szCs w:val="24"/>
          <w:lang w:val="de-DE" w:eastAsia="ko-KR"/>
        </w:rPr>
        <w:tab/>
      </w:r>
      <w:r w:rsidR="005013E5">
        <w:rPr>
          <w:noProof/>
        </w:rPr>
        <w:t xml:space="preserve">Clarify that DL wide-band transmission mode 1 assumes that LBT is successful in all LBT sub-bands </w:t>
      </w:r>
      <w:r w:rsidR="005013E5" w:rsidRPr="00B979A1">
        <w:rPr>
          <w:i/>
          <w:iCs/>
          <w:noProof/>
        </w:rPr>
        <w:t>irrespective</w:t>
      </w:r>
      <w:r w:rsidR="005013E5">
        <w:rPr>
          <w:noProof/>
        </w:rPr>
        <w:t xml:space="preserve"> of which sub-bands are scheduled with data.</w:t>
      </w:r>
    </w:p>
    <w:p w14:paraId="19040438" w14:textId="77777777" w:rsidR="005013E5" w:rsidRDefault="005013E5">
      <w:pPr>
        <w:pStyle w:val="TOC1"/>
        <w:rPr>
          <w:rFonts w:asciiTheme="minorHAnsi" w:eastAsiaTheme="minorEastAsia" w:hAnsiTheme="minorHAnsi" w:cstheme="minorBidi"/>
          <w:b w:val="0"/>
          <w:bCs w:val="0"/>
          <w:noProof/>
          <w:sz w:val="24"/>
          <w:szCs w:val="24"/>
          <w:lang w:val="de-DE" w:eastAsia="ko-KR"/>
        </w:rPr>
      </w:pPr>
      <w:r>
        <w:rPr>
          <w:noProof/>
        </w:rPr>
        <w:t>Proposal 1b:</w:t>
      </w:r>
      <w:r>
        <w:rPr>
          <w:rFonts w:asciiTheme="minorHAnsi" w:eastAsiaTheme="minorEastAsia" w:hAnsiTheme="minorHAnsi" w:cstheme="minorBidi"/>
          <w:b w:val="0"/>
          <w:bCs w:val="0"/>
          <w:noProof/>
          <w:sz w:val="24"/>
          <w:szCs w:val="24"/>
          <w:lang w:val="de-DE" w:eastAsia="ko-KR"/>
        </w:rPr>
        <w:tab/>
      </w:r>
      <w:r>
        <w:rPr>
          <w:noProof/>
        </w:rPr>
        <w:t xml:space="preserve">Clarify whether UL wide-band transmission mode 1 assumes that LBT is successful in all LBT sub-bands </w:t>
      </w:r>
      <w:r w:rsidRPr="00B979A1">
        <w:rPr>
          <w:i/>
          <w:iCs/>
          <w:noProof/>
        </w:rPr>
        <w:t>irrespective</w:t>
      </w:r>
      <w:r>
        <w:rPr>
          <w:noProof/>
        </w:rPr>
        <w:t xml:space="preserve"> of which sub-bands are scheduled with data or only in those LBT sub-bands where UL data is scheduled.</w:t>
      </w:r>
    </w:p>
    <w:p w14:paraId="4A2297CF" w14:textId="77777777" w:rsidR="005013E5" w:rsidRDefault="005013E5">
      <w:pPr>
        <w:pStyle w:val="TOC1"/>
        <w:rPr>
          <w:rFonts w:asciiTheme="minorHAnsi" w:eastAsiaTheme="minorEastAsia" w:hAnsiTheme="minorHAnsi" w:cstheme="minorBidi"/>
          <w:b w:val="0"/>
          <w:bCs w:val="0"/>
          <w:noProof/>
          <w:sz w:val="24"/>
          <w:szCs w:val="24"/>
          <w:lang w:val="de-DE" w:eastAsia="ko-KR"/>
        </w:rPr>
      </w:pPr>
      <w:r>
        <w:rPr>
          <w:noProof/>
        </w:rPr>
        <w:t>Proposal 2a:</w:t>
      </w:r>
      <w:r>
        <w:rPr>
          <w:rFonts w:asciiTheme="minorHAnsi" w:eastAsiaTheme="minorEastAsia" w:hAnsiTheme="minorHAnsi" w:cstheme="minorBidi"/>
          <w:b w:val="0"/>
          <w:bCs w:val="0"/>
          <w:noProof/>
          <w:sz w:val="24"/>
          <w:szCs w:val="24"/>
          <w:lang w:val="de-DE" w:eastAsia="ko-KR"/>
        </w:rPr>
        <w:tab/>
      </w:r>
      <w:r>
        <w:rPr>
          <w:noProof/>
        </w:rPr>
        <w:t>Wide-band transmission modes should have separate UE capabilities.</w:t>
      </w:r>
    </w:p>
    <w:p w14:paraId="2C26B445" w14:textId="77777777" w:rsidR="005013E5" w:rsidRDefault="005013E5">
      <w:pPr>
        <w:pStyle w:val="TOC1"/>
        <w:rPr>
          <w:rFonts w:asciiTheme="minorHAnsi" w:eastAsiaTheme="minorEastAsia" w:hAnsiTheme="minorHAnsi" w:cstheme="minorBidi"/>
          <w:b w:val="0"/>
          <w:bCs w:val="0"/>
          <w:noProof/>
          <w:sz w:val="24"/>
          <w:szCs w:val="24"/>
          <w:lang w:val="de-DE" w:eastAsia="ko-KR"/>
        </w:rPr>
      </w:pPr>
      <w:r>
        <w:rPr>
          <w:noProof/>
        </w:rPr>
        <w:t>Proposal 2b:</w:t>
      </w:r>
      <w:r>
        <w:rPr>
          <w:rFonts w:asciiTheme="minorHAnsi" w:eastAsiaTheme="minorEastAsia" w:hAnsiTheme="minorHAnsi" w:cstheme="minorBidi"/>
          <w:b w:val="0"/>
          <w:bCs w:val="0"/>
          <w:noProof/>
          <w:sz w:val="24"/>
          <w:szCs w:val="24"/>
          <w:lang w:val="de-DE" w:eastAsia="ko-KR"/>
        </w:rPr>
        <w:tab/>
      </w:r>
      <w:r>
        <w:rPr>
          <w:noProof/>
        </w:rPr>
        <w:t>It can be discussed further whether we need to have strict differentiation between all three modes / sub-modes or whether transmission mode 1 can be construed as the baseline NR-U functionality.</w:t>
      </w:r>
    </w:p>
    <w:p w14:paraId="63DE8D43" w14:textId="77777777" w:rsidR="005013E5" w:rsidRDefault="005013E5">
      <w:pPr>
        <w:pStyle w:val="TOC1"/>
        <w:rPr>
          <w:rFonts w:asciiTheme="minorHAnsi" w:eastAsiaTheme="minorEastAsia" w:hAnsiTheme="minorHAnsi" w:cstheme="minorBidi"/>
          <w:b w:val="0"/>
          <w:bCs w:val="0"/>
          <w:noProof/>
          <w:sz w:val="24"/>
          <w:szCs w:val="24"/>
          <w:lang w:val="de-DE" w:eastAsia="ko-KR"/>
        </w:rPr>
      </w:pPr>
      <w:r>
        <w:rPr>
          <w:noProof/>
        </w:rPr>
        <w:t>Proposal 3:</w:t>
      </w:r>
      <w:r>
        <w:rPr>
          <w:rFonts w:asciiTheme="minorHAnsi" w:eastAsiaTheme="minorEastAsia" w:hAnsiTheme="minorHAnsi" w:cstheme="minorBidi"/>
          <w:b w:val="0"/>
          <w:bCs w:val="0"/>
          <w:noProof/>
          <w:sz w:val="24"/>
          <w:szCs w:val="24"/>
          <w:lang w:val="de-DE" w:eastAsia="ko-KR"/>
        </w:rPr>
        <w:tab/>
      </w:r>
      <w:r>
        <w:rPr>
          <w:noProof/>
        </w:rPr>
        <w:t>Wide-band transmission modes should be differentiated between DL and UL.</w:t>
      </w:r>
    </w:p>
    <w:p w14:paraId="6BDE2724" w14:textId="77777777" w:rsidR="005013E5" w:rsidRDefault="005013E5">
      <w:pPr>
        <w:pStyle w:val="TOC1"/>
        <w:rPr>
          <w:rFonts w:asciiTheme="minorHAnsi" w:eastAsiaTheme="minorEastAsia" w:hAnsiTheme="minorHAnsi" w:cstheme="minorBidi"/>
          <w:b w:val="0"/>
          <w:bCs w:val="0"/>
          <w:noProof/>
          <w:sz w:val="24"/>
          <w:szCs w:val="24"/>
          <w:lang w:val="de-DE" w:eastAsia="ko-KR"/>
        </w:rPr>
      </w:pPr>
      <w:r>
        <w:rPr>
          <w:noProof/>
        </w:rPr>
        <w:t>Proposal 4:</w:t>
      </w:r>
      <w:r>
        <w:rPr>
          <w:rFonts w:asciiTheme="minorHAnsi" w:eastAsiaTheme="minorEastAsia" w:hAnsiTheme="minorHAnsi" w:cstheme="minorBidi"/>
          <w:b w:val="0"/>
          <w:bCs w:val="0"/>
          <w:noProof/>
          <w:sz w:val="24"/>
          <w:szCs w:val="24"/>
          <w:lang w:val="de-DE" w:eastAsia="ko-KR"/>
        </w:rPr>
        <w:tab/>
      </w:r>
      <w:r>
        <w:rPr>
          <w:noProof/>
        </w:rPr>
        <w:t>For 60kHz SCS, adopt alternative 1 for intra-carrier guard bands (i.e. 5 RBs for in-carrier guard band with 23-5-23 pattern).</w:t>
      </w:r>
    </w:p>
    <w:p w14:paraId="05CC6F0A" w14:textId="44908E2F" w:rsidR="005E69AE" w:rsidRDefault="0062595A" w:rsidP="009F6A53">
      <w:r>
        <w:rPr>
          <w:b/>
          <w:bCs/>
        </w:rPr>
        <w:fldChar w:fldCharType="end"/>
      </w:r>
    </w:p>
    <w:p w14:paraId="4D133CD8" w14:textId="09FDFF7E" w:rsidR="00276EE4" w:rsidRPr="003A0483" w:rsidRDefault="005E69AE" w:rsidP="0034070F">
      <w:pPr>
        <w:pStyle w:val="Heading1"/>
      </w:pPr>
      <w:r>
        <w:lastRenderedPageBreak/>
        <w:t>4</w:t>
      </w:r>
      <w:r>
        <w:tab/>
        <w:t>References</w:t>
      </w:r>
    </w:p>
    <w:p w14:paraId="02656AEC" w14:textId="308E8ABE" w:rsidR="005E69AE" w:rsidRDefault="003251B9" w:rsidP="00276EE4">
      <w:pPr>
        <w:pStyle w:val="EX"/>
      </w:pPr>
      <w:bookmarkStart w:id="34" w:name="_Ref13820109"/>
      <w:bookmarkStart w:id="35" w:name="_Ref37077689"/>
      <w:bookmarkStart w:id="36" w:name="_Ref40269250"/>
      <w:r w:rsidRPr="003251B9">
        <w:t>RP-1912926</w:t>
      </w:r>
      <w:r w:rsidR="00667164">
        <w:t>, "</w:t>
      </w:r>
      <w:r w:rsidRPr="003251B9">
        <w:t xml:space="preserve">WID on NR-based Access to Unlicensed Spectrum </w:t>
      </w:r>
      <w:r w:rsidR="00667164">
        <w:t xml:space="preserve">", </w:t>
      </w:r>
      <w:bookmarkEnd w:id="34"/>
      <w:bookmarkEnd w:id="35"/>
      <w:r>
        <w:t>Qualcomm Inc.</w:t>
      </w:r>
      <w:bookmarkEnd w:id="36"/>
    </w:p>
    <w:p w14:paraId="5585F3B1" w14:textId="61D38824" w:rsidR="00655891" w:rsidRDefault="00AD5712" w:rsidP="00276EE4">
      <w:pPr>
        <w:pStyle w:val="EX"/>
      </w:pPr>
      <w:bookmarkStart w:id="37" w:name="_Ref47521675"/>
      <w:r w:rsidRPr="00AD5712">
        <w:t>R1-2004965</w:t>
      </w:r>
      <w:r>
        <w:t>, "</w:t>
      </w:r>
      <w:r w:rsidRPr="00AD5712">
        <w:t>LS on UE capability on wideband carrier operation for NR-U</w:t>
      </w:r>
      <w:r>
        <w:t>", RAN WG1</w:t>
      </w:r>
      <w:bookmarkEnd w:id="37"/>
    </w:p>
    <w:bookmarkEnd w:id="0"/>
    <w:p w14:paraId="2C7BC95E" w14:textId="77777777" w:rsidR="00080512" w:rsidRDefault="00080512"/>
    <w:sectPr w:rsidR="00080512" w:rsidSect="00114E2C">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8A66E" w14:textId="77777777" w:rsidR="00D92193" w:rsidRDefault="00D92193">
      <w:r>
        <w:separator/>
      </w:r>
    </w:p>
  </w:endnote>
  <w:endnote w:type="continuationSeparator" w:id="0">
    <w:p w14:paraId="6E782AF9" w14:textId="77777777" w:rsidR="00D92193" w:rsidRDefault="00D9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4A7AA" w14:textId="77777777" w:rsidR="00D92193" w:rsidRDefault="00D92193">
      <w:r>
        <w:separator/>
      </w:r>
    </w:p>
  </w:footnote>
  <w:footnote w:type="continuationSeparator" w:id="0">
    <w:p w14:paraId="58BD9338" w14:textId="77777777" w:rsidR="00D92193" w:rsidRDefault="00D92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52"/>
    <w:rsid w:val="00031ACB"/>
    <w:rsid w:val="00033397"/>
    <w:rsid w:val="00040095"/>
    <w:rsid w:val="00051834"/>
    <w:rsid w:val="00054A22"/>
    <w:rsid w:val="00062023"/>
    <w:rsid w:val="000644EB"/>
    <w:rsid w:val="000655A6"/>
    <w:rsid w:val="0007374F"/>
    <w:rsid w:val="000741FE"/>
    <w:rsid w:val="00075997"/>
    <w:rsid w:val="00080512"/>
    <w:rsid w:val="00087C63"/>
    <w:rsid w:val="000A365D"/>
    <w:rsid w:val="000A68F3"/>
    <w:rsid w:val="000B1FA3"/>
    <w:rsid w:val="000C47C3"/>
    <w:rsid w:val="000C7305"/>
    <w:rsid w:val="000D58AB"/>
    <w:rsid w:val="000D5C14"/>
    <w:rsid w:val="000E4B59"/>
    <w:rsid w:val="001018E4"/>
    <w:rsid w:val="00104BC6"/>
    <w:rsid w:val="00114E2C"/>
    <w:rsid w:val="001247AA"/>
    <w:rsid w:val="001265D9"/>
    <w:rsid w:val="00126CA9"/>
    <w:rsid w:val="001300D2"/>
    <w:rsid w:val="00132538"/>
    <w:rsid w:val="00133525"/>
    <w:rsid w:val="001357DC"/>
    <w:rsid w:val="001462A8"/>
    <w:rsid w:val="00164AF9"/>
    <w:rsid w:val="00165EE6"/>
    <w:rsid w:val="001729FA"/>
    <w:rsid w:val="00182CE6"/>
    <w:rsid w:val="00194772"/>
    <w:rsid w:val="001A4C42"/>
    <w:rsid w:val="001C21C3"/>
    <w:rsid w:val="001D02C2"/>
    <w:rsid w:val="001E4F49"/>
    <w:rsid w:val="001E6EB2"/>
    <w:rsid w:val="001E732B"/>
    <w:rsid w:val="001F0C1D"/>
    <w:rsid w:val="001F1132"/>
    <w:rsid w:val="001F168B"/>
    <w:rsid w:val="001F1EBD"/>
    <w:rsid w:val="00212BAE"/>
    <w:rsid w:val="00230DA7"/>
    <w:rsid w:val="00231873"/>
    <w:rsid w:val="002347A2"/>
    <w:rsid w:val="002427D9"/>
    <w:rsid w:val="00247926"/>
    <w:rsid w:val="002675F0"/>
    <w:rsid w:val="00276EE4"/>
    <w:rsid w:val="00294E47"/>
    <w:rsid w:val="002A52AA"/>
    <w:rsid w:val="002B6339"/>
    <w:rsid w:val="002E00EE"/>
    <w:rsid w:val="002E555B"/>
    <w:rsid w:val="002F6B48"/>
    <w:rsid w:val="00314FF2"/>
    <w:rsid w:val="003172DC"/>
    <w:rsid w:val="003251B9"/>
    <w:rsid w:val="00330A27"/>
    <w:rsid w:val="00331EE3"/>
    <w:rsid w:val="0034052F"/>
    <w:rsid w:val="0034070F"/>
    <w:rsid w:val="0035462D"/>
    <w:rsid w:val="00355119"/>
    <w:rsid w:val="003765B8"/>
    <w:rsid w:val="003A0483"/>
    <w:rsid w:val="003C3971"/>
    <w:rsid w:val="003E2F3F"/>
    <w:rsid w:val="003E7753"/>
    <w:rsid w:val="00405DE0"/>
    <w:rsid w:val="0040718D"/>
    <w:rsid w:val="00423334"/>
    <w:rsid w:val="00425DC6"/>
    <w:rsid w:val="004345EC"/>
    <w:rsid w:val="004404A5"/>
    <w:rsid w:val="00441776"/>
    <w:rsid w:val="00447857"/>
    <w:rsid w:val="004516C7"/>
    <w:rsid w:val="004826A9"/>
    <w:rsid w:val="00494877"/>
    <w:rsid w:val="004B3064"/>
    <w:rsid w:val="004B5392"/>
    <w:rsid w:val="004C1601"/>
    <w:rsid w:val="004D3578"/>
    <w:rsid w:val="004E213A"/>
    <w:rsid w:val="004F0988"/>
    <w:rsid w:val="004F2142"/>
    <w:rsid w:val="004F3340"/>
    <w:rsid w:val="004F3E3D"/>
    <w:rsid w:val="005013E5"/>
    <w:rsid w:val="00515AE4"/>
    <w:rsid w:val="00522A94"/>
    <w:rsid w:val="0053388B"/>
    <w:rsid w:val="00535773"/>
    <w:rsid w:val="00543E6C"/>
    <w:rsid w:val="005441F6"/>
    <w:rsid w:val="005532C0"/>
    <w:rsid w:val="005619F8"/>
    <w:rsid w:val="0056236F"/>
    <w:rsid w:val="00565087"/>
    <w:rsid w:val="00572E14"/>
    <w:rsid w:val="00592192"/>
    <w:rsid w:val="005973BE"/>
    <w:rsid w:val="005A093B"/>
    <w:rsid w:val="005A3830"/>
    <w:rsid w:val="005A5986"/>
    <w:rsid w:val="005C5495"/>
    <w:rsid w:val="005D1F6E"/>
    <w:rsid w:val="005D2E01"/>
    <w:rsid w:val="005D4385"/>
    <w:rsid w:val="005D7526"/>
    <w:rsid w:val="005E587F"/>
    <w:rsid w:val="005E69AE"/>
    <w:rsid w:val="005F529C"/>
    <w:rsid w:val="005F5987"/>
    <w:rsid w:val="00602A59"/>
    <w:rsid w:val="00602AEA"/>
    <w:rsid w:val="00607E3C"/>
    <w:rsid w:val="00614FDF"/>
    <w:rsid w:val="00623A42"/>
    <w:rsid w:val="006246A7"/>
    <w:rsid w:val="0062595A"/>
    <w:rsid w:val="0063543D"/>
    <w:rsid w:val="00647114"/>
    <w:rsid w:val="00655891"/>
    <w:rsid w:val="00667164"/>
    <w:rsid w:val="00690481"/>
    <w:rsid w:val="006A323F"/>
    <w:rsid w:val="006A6BD0"/>
    <w:rsid w:val="006B30D0"/>
    <w:rsid w:val="006C3D95"/>
    <w:rsid w:val="006E3C1C"/>
    <w:rsid w:val="006E5C86"/>
    <w:rsid w:val="006E73A3"/>
    <w:rsid w:val="00706528"/>
    <w:rsid w:val="007071A1"/>
    <w:rsid w:val="0071280F"/>
    <w:rsid w:val="00712A2B"/>
    <w:rsid w:val="00713C44"/>
    <w:rsid w:val="007317A7"/>
    <w:rsid w:val="00734A5B"/>
    <w:rsid w:val="0074026F"/>
    <w:rsid w:val="007429F6"/>
    <w:rsid w:val="00744E76"/>
    <w:rsid w:val="00745D32"/>
    <w:rsid w:val="007469C7"/>
    <w:rsid w:val="00752198"/>
    <w:rsid w:val="00752CCE"/>
    <w:rsid w:val="00753881"/>
    <w:rsid w:val="00756E85"/>
    <w:rsid w:val="00774DA4"/>
    <w:rsid w:val="00781F0F"/>
    <w:rsid w:val="00782EF3"/>
    <w:rsid w:val="00793DF9"/>
    <w:rsid w:val="00795206"/>
    <w:rsid w:val="007B56DB"/>
    <w:rsid w:val="007B600E"/>
    <w:rsid w:val="007F0F4A"/>
    <w:rsid w:val="007F27A5"/>
    <w:rsid w:val="0080104E"/>
    <w:rsid w:val="008028A4"/>
    <w:rsid w:val="00803BF8"/>
    <w:rsid w:val="00815191"/>
    <w:rsid w:val="00816B06"/>
    <w:rsid w:val="00820B25"/>
    <w:rsid w:val="0082139C"/>
    <w:rsid w:val="00830747"/>
    <w:rsid w:val="008330B3"/>
    <w:rsid w:val="00855D88"/>
    <w:rsid w:val="008768CA"/>
    <w:rsid w:val="00887CC4"/>
    <w:rsid w:val="008A00F6"/>
    <w:rsid w:val="008B1DED"/>
    <w:rsid w:val="008B5422"/>
    <w:rsid w:val="008C384C"/>
    <w:rsid w:val="008D4A90"/>
    <w:rsid w:val="008E3F25"/>
    <w:rsid w:val="008E7986"/>
    <w:rsid w:val="008E7A16"/>
    <w:rsid w:val="0090271F"/>
    <w:rsid w:val="00902E23"/>
    <w:rsid w:val="009114D7"/>
    <w:rsid w:val="0091348E"/>
    <w:rsid w:val="00917CCB"/>
    <w:rsid w:val="00942EC2"/>
    <w:rsid w:val="009767A4"/>
    <w:rsid w:val="00997130"/>
    <w:rsid w:val="00997C58"/>
    <w:rsid w:val="009B0E31"/>
    <w:rsid w:val="009B2322"/>
    <w:rsid w:val="009F0E8D"/>
    <w:rsid w:val="009F37B7"/>
    <w:rsid w:val="009F5E43"/>
    <w:rsid w:val="009F6A53"/>
    <w:rsid w:val="00A10F02"/>
    <w:rsid w:val="00A164B4"/>
    <w:rsid w:val="00A17802"/>
    <w:rsid w:val="00A26956"/>
    <w:rsid w:val="00A41E85"/>
    <w:rsid w:val="00A53724"/>
    <w:rsid w:val="00A67699"/>
    <w:rsid w:val="00A73129"/>
    <w:rsid w:val="00A817A7"/>
    <w:rsid w:val="00A82346"/>
    <w:rsid w:val="00A826A1"/>
    <w:rsid w:val="00A92BA1"/>
    <w:rsid w:val="00AC6BC6"/>
    <w:rsid w:val="00AD084F"/>
    <w:rsid w:val="00AD5712"/>
    <w:rsid w:val="00AE3797"/>
    <w:rsid w:val="00AF5FF7"/>
    <w:rsid w:val="00B0333C"/>
    <w:rsid w:val="00B132B8"/>
    <w:rsid w:val="00B15449"/>
    <w:rsid w:val="00B169CD"/>
    <w:rsid w:val="00B242EC"/>
    <w:rsid w:val="00B2481F"/>
    <w:rsid w:val="00B55C02"/>
    <w:rsid w:val="00B76B17"/>
    <w:rsid w:val="00B93086"/>
    <w:rsid w:val="00BA19ED"/>
    <w:rsid w:val="00BA300B"/>
    <w:rsid w:val="00BA4B8D"/>
    <w:rsid w:val="00BC0F7D"/>
    <w:rsid w:val="00BC4416"/>
    <w:rsid w:val="00BD401E"/>
    <w:rsid w:val="00BD658E"/>
    <w:rsid w:val="00BE3255"/>
    <w:rsid w:val="00BF128E"/>
    <w:rsid w:val="00C1496A"/>
    <w:rsid w:val="00C33079"/>
    <w:rsid w:val="00C43826"/>
    <w:rsid w:val="00C45231"/>
    <w:rsid w:val="00C57F61"/>
    <w:rsid w:val="00C65899"/>
    <w:rsid w:val="00C663E3"/>
    <w:rsid w:val="00C724D1"/>
    <w:rsid w:val="00C72833"/>
    <w:rsid w:val="00C74454"/>
    <w:rsid w:val="00C80F1D"/>
    <w:rsid w:val="00C93F40"/>
    <w:rsid w:val="00CA3D0C"/>
    <w:rsid w:val="00CB76BF"/>
    <w:rsid w:val="00CF20E3"/>
    <w:rsid w:val="00D14C7B"/>
    <w:rsid w:val="00D309CC"/>
    <w:rsid w:val="00D42704"/>
    <w:rsid w:val="00D46431"/>
    <w:rsid w:val="00D56A52"/>
    <w:rsid w:val="00D57972"/>
    <w:rsid w:val="00D675A9"/>
    <w:rsid w:val="00D738D6"/>
    <w:rsid w:val="00D755EB"/>
    <w:rsid w:val="00D87E00"/>
    <w:rsid w:val="00D90D8F"/>
    <w:rsid w:val="00D9134D"/>
    <w:rsid w:val="00D92193"/>
    <w:rsid w:val="00D92ACE"/>
    <w:rsid w:val="00D9381C"/>
    <w:rsid w:val="00DA7A03"/>
    <w:rsid w:val="00DB1818"/>
    <w:rsid w:val="00DB7CB6"/>
    <w:rsid w:val="00DC2F94"/>
    <w:rsid w:val="00DC309B"/>
    <w:rsid w:val="00DC4DA2"/>
    <w:rsid w:val="00DC6353"/>
    <w:rsid w:val="00DD275E"/>
    <w:rsid w:val="00DD4C17"/>
    <w:rsid w:val="00DE7963"/>
    <w:rsid w:val="00DE7EB0"/>
    <w:rsid w:val="00DF2B1F"/>
    <w:rsid w:val="00DF6189"/>
    <w:rsid w:val="00DF62CD"/>
    <w:rsid w:val="00E16509"/>
    <w:rsid w:val="00E275EE"/>
    <w:rsid w:val="00E44582"/>
    <w:rsid w:val="00E47D65"/>
    <w:rsid w:val="00E52814"/>
    <w:rsid w:val="00E72324"/>
    <w:rsid w:val="00E72ABE"/>
    <w:rsid w:val="00E77645"/>
    <w:rsid w:val="00EC2046"/>
    <w:rsid w:val="00EC4A25"/>
    <w:rsid w:val="00EE0A7F"/>
    <w:rsid w:val="00EE271A"/>
    <w:rsid w:val="00EE40A1"/>
    <w:rsid w:val="00EE5AA7"/>
    <w:rsid w:val="00EE7E5C"/>
    <w:rsid w:val="00F01FD9"/>
    <w:rsid w:val="00F025A2"/>
    <w:rsid w:val="00F04712"/>
    <w:rsid w:val="00F11A80"/>
    <w:rsid w:val="00F21311"/>
    <w:rsid w:val="00F22EC7"/>
    <w:rsid w:val="00F325C8"/>
    <w:rsid w:val="00F4314B"/>
    <w:rsid w:val="00F62AEB"/>
    <w:rsid w:val="00F63457"/>
    <w:rsid w:val="00F653B8"/>
    <w:rsid w:val="00F70647"/>
    <w:rsid w:val="00F8674C"/>
    <w:rsid w:val="00F907DC"/>
    <w:rsid w:val="00F93F26"/>
    <w:rsid w:val="00FA1266"/>
    <w:rsid w:val="00FA442A"/>
    <w:rsid w:val="00FA63FF"/>
    <w:rsid w:val="00FC1192"/>
    <w:rsid w:val="00FE05D7"/>
    <w:rsid w:val="00FE447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 w:type="character" w:styleId="CommentReference">
    <w:name w:val="annotation reference"/>
    <w:basedOn w:val="DefaultParagraphFont"/>
    <w:rsid w:val="00816B06"/>
    <w:rPr>
      <w:sz w:val="16"/>
      <w:szCs w:val="16"/>
    </w:rPr>
  </w:style>
  <w:style w:type="paragraph" w:styleId="CommentText">
    <w:name w:val="annotation text"/>
    <w:basedOn w:val="Normal"/>
    <w:link w:val="CommentTextChar"/>
    <w:rsid w:val="00816B06"/>
  </w:style>
  <w:style w:type="character" w:customStyle="1" w:styleId="CommentTextChar">
    <w:name w:val="Comment Text Char"/>
    <w:basedOn w:val="DefaultParagraphFont"/>
    <w:link w:val="CommentText"/>
    <w:rsid w:val="00816B06"/>
    <w:rPr>
      <w:lang w:eastAsia="en-US"/>
    </w:rPr>
  </w:style>
  <w:style w:type="paragraph" w:styleId="CommentSubject">
    <w:name w:val="annotation subject"/>
    <w:basedOn w:val="CommentText"/>
    <w:next w:val="CommentText"/>
    <w:link w:val="CommentSubjectChar"/>
    <w:rsid w:val="00816B06"/>
    <w:rPr>
      <w:b/>
      <w:bCs/>
    </w:rPr>
  </w:style>
  <w:style w:type="character" w:customStyle="1" w:styleId="CommentSubjectChar">
    <w:name w:val="Comment Subject Char"/>
    <w:basedOn w:val="CommentTextChar"/>
    <w:link w:val="CommentSubject"/>
    <w:rsid w:val="00816B0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55660">
      <w:bodyDiv w:val="1"/>
      <w:marLeft w:val="0"/>
      <w:marRight w:val="0"/>
      <w:marTop w:val="0"/>
      <w:marBottom w:val="0"/>
      <w:divBdr>
        <w:top w:val="none" w:sz="0" w:space="0" w:color="auto"/>
        <w:left w:val="none" w:sz="0" w:space="0" w:color="auto"/>
        <w:bottom w:val="none" w:sz="0" w:space="0" w:color="auto"/>
        <w:right w:val="none" w:sz="0" w:space="0" w:color="auto"/>
      </w:divBdr>
    </w:div>
    <w:div w:id="108742718">
      <w:bodyDiv w:val="1"/>
      <w:marLeft w:val="0"/>
      <w:marRight w:val="0"/>
      <w:marTop w:val="0"/>
      <w:marBottom w:val="0"/>
      <w:divBdr>
        <w:top w:val="none" w:sz="0" w:space="0" w:color="auto"/>
        <w:left w:val="none" w:sz="0" w:space="0" w:color="auto"/>
        <w:bottom w:val="none" w:sz="0" w:space="0" w:color="auto"/>
        <w:right w:val="none" w:sz="0" w:space="0" w:color="auto"/>
      </w:divBdr>
    </w:div>
    <w:div w:id="580333694">
      <w:bodyDiv w:val="1"/>
      <w:marLeft w:val="0"/>
      <w:marRight w:val="0"/>
      <w:marTop w:val="0"/>
      <w:marBottom w:val="0"/>
      <w:divBdr>
        <w:top w:val="none" w:sz="0" w:space="0" w:color="auto"/>
        <w:left w:val="none" w:sz="0" w:space="0" w:color="auto"/>
        <w:bottom w:val="none" w:sz="0" w:space="0" w:color="auto"/>
        <w:right w:val="none" w:sz="0" w:space="0" w:color="auto"/>
      </w:divBdr>
    </w:div>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 w:id="1327441294">
      <w:bodyDiv w:val="1"/>
      <w:marLeft w:val="0"/>
      <w:marRight w:val="0"/>
      <w:marTop w:val="0"/>
      <w:marBottom w:val="0"/>
      <w:divBdr>
        <w:top w:val="none" w:sz="0" w:space="0" w:color="auto"/>
        <w:left w:val="none" w:sz="0" w:space="0" w:color="auto"/>
        <w:bottom w:val="none" w:sz="0" w:space="0" w:color="auto"/>
        <w:right w:val="none" w:sz="0" w:space="0" w:color="auto"/>
      </w:divBdr>
    </w:div>
    <w:div w:id="1344817446">
      <w:bodyDiv w:val="1"/>
      <w:marLeft w:val="0"/>
      <w:marRight w:val="0"/>
      <w:marTop w:val="0"/>
      <w:marBottom w:val="0"/>
      <w:divBdr>
        <w:top w:val="none" w:sz="0" w:space="0" w:color="auto"/>
        <w:left w:val="none" w:sz="0" w:space="0" w:color="auto"/>
        <w:bottom w:val="none" w:sz="0" w:space="0" w:color="auto"/>
        <w:right w:val="none" w:sz="0" w:space="0" w:color="auto"/>
      </w:divBdr>
    </w:div>
    <w:div w:id="178554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B0BFA-C1E8-7247-81F1-6FECC43D3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212</TotalTime>
  <Pages>5</Pages>
  <Words>1911</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23</cp:revision>
  <cp:lastPrinted>2019-02-25T11:05:00Z</cp:lastPrinted>
  <dcterms:created xsi:type="dcterms:W3CDTF">2020-08-03T12:32:00Z</dcterms:created>
  <dcterms:modified xsi:type="dcterms:W3CDTF">2020-08-07T11:58:00Z</dcterms:modified>
  <cp:category/>
</cp:coreProperties>
</file>